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keepNext/>
        <w:pBdr>
          <w:bottom w:val="single" w:sz="6" w:space="1" w:color="AUTO"/>
        </w:pBdr>
        <w:spacing w:before="120" w:after="60"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Testing constitutive hybrid costs in uninfected mice only (n = 171)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Predictor 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Coefficient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color w:val="FFFFFF"/>
              </w:rPr>
              <w:t xml:space="default">P-value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shd w:val="clear" w:color="auto" w:fill="1F77B4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color w:val="FFFFFF"/>
              </w:rPr>
              <w:t xml:space="default"/>
            </w:r>
            <w:r>
              <w:rPr>
                <w:vertAlign w:val="superscript"/>
                <w:i/>
                <w:rFonts w:ascii="Calibri" w:hAnsi="Calibri"/>
                <w:sz w:val="20"/>
                <w:color w:val="FFFFFF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(-0.0137, 0.0145)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0.955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Hybridization distance (hHe)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-0.0062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(-0.0284, 0.0161)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0.587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Mean hybridization level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-0.0747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(-0.0881, -0.0613)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&lt; 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  <w:shd w:val="clear" w:color="auto" w:fill="FFEBEE"/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  <w:b w:val="true"/>
              </w:rPr>
              <w:t xml:space="default">***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Sex difference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0.0004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(-0.0051, 0.0058)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0.897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Subspecies genetic distance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-0.0222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(-0.0640, 0.0196)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Significance: *** p &lt; 0.001, ** p &lt; 0.01, * p &lt; 0.05, . p &lt; 0.1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2025-06-16T10:01:56Z</dcterms:created>
  <dcterms:modified xsi:type="dcterms:W3CDTF">2025-06-16T10:01:56Z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