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/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sample size (complete data)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sample size (all mice)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Females (final dataset)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Males (final dataset)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Hybrid index 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0 - 1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Hybrid index 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0.778 (0.176 - 0.88)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{\i 
            <w:r>
              <w:rPr>
                <w:rFonts w:ascii="Calibri" w:hAnsi="Calibri"/>
                <w:sz w:val="20"/>
              </w:rPr>
              <w:t xml:space="preserve">Eimeria</w:t>
            </w:r>
            }
            <w:r>
              <w:rPr>
                <w:rFonts w:ascii="Calibri" w:hAnsi="Calibri"/>
                <w:sz w:val="20"/>
              </w:rPr>
              <w:t xml:space="preserve"> infected (final)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{\i 
            <w:r>
              <w:rPr>
                <w:rFonts w:ascii="Calibri" w:hAnsi="Calibri"/>
                <w:sz w:val="20"/>
              </w:rPr>
              <w:t xml:space="preserve">Eimeria</w:t>
            </w:r>
            }
            <w:r>
              <w:rPr>
                <w:rFonts w:ascii="Calibri" w:hAnsi="Calibri"/>
                <w:sz w:val="20"/>
              </w:rPr>
              <w:t xml:space="preserve"> uninfected (final)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{\i 
            <w:r>
              <w:rPr>
                <w:rFonts w:ascii="Calibri" w:hAnsi="Calibri"/>
                <w:sz w:val="20"/>
              </w:rPr>
              <w:t xml:space="preserve">E. ferrisi</w:t>
            </w:r>
            }
            <w:r>
              <w:rPr>
                <w:rFonts w:ascii="Calibri" w:hAnsi="Calibri"/>
                <w:sz w:val="20"/>
              </w:rPr>
              <w:t xml:space="preserve"> infected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{\i 
            <w:r>
              <w:rPr>
                <w:rFonts w:ascii="Calibri" w:hAnsi="Calibri"/>
                <w:sz w:val="20"/>
              </w:rPr>
              <w:t xml:space="preserve">E. falciformis</w:t>
            </w:r>
            }
            <w:r>
              <w:rPr>
                <w:rFonts w:ascii="Calibri" w:hAnsi="Calibri"/>
                <w:sz w:val="20"/>
              </w:rPr>
              <w:t xml:space="preserve"> infected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Predicted weight loss range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3.98 - 18.46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Predicted weight loss 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9.67 (8.16 - 11.79)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qPCR detection success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55.1% (185/336)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Amplicon sequencing success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79.3% (134/169)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2025-06-17T07:27:21Z</dcterms:created>
  <dcterms:modified xsi:type="dcterms:W3CDTF">2025-06-17T07:27:21Z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