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Predicted weight loss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Predicted weight loss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Predicted weight loss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Infected with </w:t>
            </w:r>
            <w:r>
              <w:rPr>
                <w:i/>
                <w:rFonts w:ascii="Calibri" w:hAnsi="Calibri"/>
                <w:sz w:val="20"/>
              </w:rPr>
              <w:t xml:space="preserve">Eimeria</w:t>
            </w:r>
            <w:r>
              <w:rPr>
                <w:rFonts w:ascii="Calibri" w:hAnsi="Calibri"/>
                <w:sz w:val="20"/>
              </w:rPr>
              <w:t xml:space="preserve"> spp.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Hybrid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Hybrid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Hybrid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Infected with </w:t>
            </w:r>
            <w:r>
              <w:rPr>
                <w:i/>
                <w:rFonts w:ascii="Calibri" w:hAnsi="Calibri"/>
                <w:sz w:val="20"/>
              </w:rPr>
              <w:t xml:space="preserve">Eimeria</w:t>
            </w:r>
            <w:r>
              <w:rPr>
                <w:rFonts w:ascii="Calibri" w:hAnsi="Calibri"/>
                <w:sz w:val="20"/>
              </w:rPr>
              <w:t xml:space="preserve"> spp.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2025-06-17T07:27:12Z</dcterms:created>
  <dcterms:modified xsi:type="dcterms:W3CDTF">2025-06-17T07:27:12Z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