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pBdr>
          <w:bottom w:val="single" w:sz="6" w:space="1" w:color="AUTO"/>
        </w:pBdr>
        <w:spacing w:before="120" w:after="60"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Testing infection-dependent hybrid effects in infected mice only (n = 133)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Predictor 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/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0.0233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(0.0059, 0.0407)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Hybridization distance (hHe)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(0.0397, 0.0943)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hybridization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(0.0373, 0.0740)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difference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(-0.0078, 0.0049)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-0.0877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(-0.1428, -0.0326)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Significance: *** p &lt; 0.001, ** p &lt; 0.01, * p &lt; 0.05, . p &lt; 0.1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2025-06-14T15:37:21Z</dcterms:created>
  <dcterms:modified xsi:type="dcterms:W3CDTF">2025-06-14T15:37:21Z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