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/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 sample size (complete data)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 sample size (all mice)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Females (final dataset)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Males (final dataset)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Hybrid index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0 - 1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Hybrid index 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0.778 (0.176 - 0.88)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{\i 
            <w:r>
              <w:rPr>
                <w:rFonts w:ascii="Calibri" w:hAnsi="Calibri"/>
                <w:sz w:val="20"/>
              </w:rPr>
              <w:t xml:space="preserve">Eimeria</w:t>
            </w:r>
            }
            <w:r>
              <w:rPr>
                <w:rFonts w:ascii="Calibri" w:hAnsi="Calibri"/>
                <w:sz w:val="20"/>
              </w:rPr>
              <w:t xml:space="preserve"> infected (final)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{\i 
            <w:r>
              <w:rPr>
                <w:rFonts w:ascii="Calibri" w:hAnsi="Calibri"/>
                <w:sz w:val="20"/>
              </w:rPr>
              <w:t xml:space="preserve">Eimeria</w:t>
            </w:r>
            }
            <w:r>
              <w:rPr>
                <w:rFonts w:ascii="Calibri" w:hAnsi="Calibri"/>
                <w:sz w:val="20"/>
              </w:rPr>
              <w:t xml:space="preserve"> uninfected (final)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{\i 
            <w:r>
              <w:rPr>
                <w:rFonts w:ascii="Calibri" w:hAnsi="Calibri"/>
                <w:sz w:val="20"/>
              </w:rPr>
              <w:t xml:space="preserve">E. ferrisi</w:t>
            </w:r>
            }
            <w:r>
              <w:rPr>
                <w:rFonts w:ascii="Calibri" w:hAnsi="Calibri"/>
                <w:sz w:val="20"/>
              </w:rPr>
              <w:t xml:space="preserve"> 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{\i 
            <w:r>
              <w:rPr>
                <w:rFonts w:ascii="Calibri" w:hAnsi="Calibri"/>
                <w:sz w:val="20"/>
              </w:rPr>
              <w:t xml:space="preserve">E. falciformis</w:t>
            </w:r>
            }
            <w:r>
              <w:rPr>
                <w:rFonts w:ascii="Calibri" w:hAnsi="Calibri"/>
                <w:sz w:val="20"/>
              </w:rPr>
              <w:t xml:space="preserve"> infected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Predicted weight loss range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3.98 - 18.46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Predicted weight loss 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9.67 (8.16 - 11.79)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qPCR detection success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55.1% (185/336)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Amplicon sequencing success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79.3% (134/169)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2025-06-14T15:52:42Z</dcterms:created>
  <dcterms:modified xsi:type="dcterms:W3CDTF">2025-06-14T15:52:42Z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