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Complete parameter estimates for models testing genetic and sex-specific effects on immune-predicted weight loss (n = 304)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Info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1: Genetic baseline&lt;br&gt;&lt;span style='font-size:11px; font-style:italic'&gt;R² = 0.019, F(3,300) = 1.94, p = 0.122, AIC = 1419&lt;/span&gt;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9.570 (0.411)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-0.154 (0.666)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-0.392 (2.035)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4.015 (3.436)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2: Main effects&lt;br&gt;&lt;span style='font-size:11px; font-style:italic'&gt;R² = 0.063, F(4,299) = 5.05, p &lt; 0.001, AIC = 1407&lt;/span&gt;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9.053 (0.372)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-0.090 (0.278)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0.185 (0.406)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1.556 (1.014)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1.125 (0.285)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3.94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299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Model 3: Two-way interactions&lt;br&gt;&lt;span style='font-size:11px; font-style:italic'&gt;R² = 0.093, F(10,293) = 2.99, p = 0.001, AIC = 1409&lt;/span&gt;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3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EAF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3"/>
                <w:b w:val="true"/>
              </w:rPr>
              <w:t xml:space="default">Residual SE: 2.40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9.316 (0.514)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(Male)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-1.308 (0.736)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-0.670 (0.828)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1.286 (2.379)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2.320 (0.795)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0.004**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2.144 (0.833)</w:t>
            </w:r>
            <w:r>
              <w:rPr>
                <w:vertAlign w:val="superscript"/>
                <w:i/>
                <w:rFonts w:ascii="Calibri" w:hAnsi="Calibri"/>
                <w:sz w:val="20"/>
                <w:color w:val="1976D2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976D2"/>
                <w:b w:val="true"/>
              </w:rPr>
              <w:t xml:space="default">0.011*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0.547 (2.076)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-0.369 (0.571)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1.692 (3.508)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-1.299 (0.841)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 ×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-0.908 (2.095)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()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df: 293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 = Hybrid Index (0 = pure M. m. domesticus, 1 = pure M. m. musculus)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He = Expected heterozygosity = 2 × HI × (1 - HI), measuring genetic admixture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Significance codes: ***p &lt; 0.001, **p &lt; 0.01, *p &lt; 0.05, . p &lt; 0.1</w:t>
            </w:r>
            \line 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Models compared using likelihood ratio tests.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2025-06-25T12:00:13Z</dcterms:created>
  <dcterms:modified xsi:type="dcterms:W3CDTF">2025-06-25T12:00:13Z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