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Immune Gene Panel for Infection Response Prediction</w:t>
      </w:r>
      <w:r>
        <w:rPr>
          <w:vertAlign w:val="superscript"/>
          <w:i/>
          <w:rFonts w:ascii="Calibri" w:hAnsi="Calibri"/>
          <w:sz w:val="24"/>
          <w:color w:val="333333"/>
        </w:rPr>
        <w:t xml:space="default">1</w:t>
      </w:r>
    </w:p>
    <w:p>
      <w:pPr>
        <w:spacing w:before="0" w:after="60"/>
        <w:keepNext/>
        <w:jc w:val="start"/>
        <w:pStyle w:val="caption"/>
      </w:pPr>
      <w:r>
        <w:rPr>
          <w:i/>
          <w:rFonts w:ascii="Calibri" w:hAnsi="Calibri"/>
          <w:sz w:val="20"/>
          <w:color w:val="333333"/>
        </w:rPr>
        <w:t xml:space="preserve">Nineteen genes quantified by high-throughput qPCR at day 8 post-infection</w:t>
      </w:r>
      <w:r>
        <w:rPr>
          <w:vertAlign w:val="superscript"/>
          <w:i/>
          <w:rFonts w:ascii="Calibri" w:hAnsi="Calibri"/>
          <w:sz w:val="20"/>
          <w:color w:val="333333"/>
        </w:rPr>
        <w:t xml:space="default">1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BLACK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Gene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Full Name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Primary Function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Category</w:t>
            </w:r>
          </w:p>
        </w:tc>
        <w:tc>
          <w:tcPr>
            <w:tcBorders>
              <w:top w:val="single" w:sz="16" w:space="0" w:color="D3D3D3"/>
              <w:bottom w:val="single" w:sz="16" w:space="0" w:color="BLACK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Response Type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F4F8"/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Cell-mediated Immunity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IRGM1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Immunity-related GTPase 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Autophagy, parasite resistance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Cell-autonomous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Cell-autonomous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MUC2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Mucin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Intestinal barrier, pathogen exclusion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Barrier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Barrier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NCR1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Natural cytotoxicity receptor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NK cell activation receptor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Cytotoxic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Cytotoxic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PRF1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Perforin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Cytolytic granule protein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Cytotoxic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Cytotoxic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F4F8"/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Innate Immunity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TICAM1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TIR domain-containing adapter molecule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TLR adaptor, viral response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Innate signaling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Innate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Myeloperoxidase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Oxidative burst, neutrophil marker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Innate effector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Innate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TLR2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Toll-like receptor 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Bacterial recognition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Pattern recognition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Innate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TLR4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Toll-like receptor 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LPS sensor, innate immunity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Pattern recognition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Innate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F4F8"/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Regulatory/Anti-inflammatory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IDO1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Indoleamine 2,3-dioxygenase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Tryptophan depletion, immunosuppression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Metabolic enzyme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SOCS1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Suppressor of cytokine signaling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Negative feedback, prevents tissue damage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IL1RN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Interleukin 1 receptor antagonist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IL-1 antagonist, limits 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IL-10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Interleukin 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Anti-inflammatory, regulatory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Regulatory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ARG1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Arginase 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M2 macrophage marker, tissue repair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Metabolic enzyme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Th2/Regulatory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F4F8"/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Th2/Anti-helminth Response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RETNLB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Resistin-like beta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 effector, goblet cell hyperplasia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 response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IL-13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Interleukin 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 cytokine, mucus production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 response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shd w:val="clear" w:color="auto" w:fill="E8F4F8"/>
            <w:tcMar>
              <w:top w:w="25" w:type="dxa"/>
            </w:tcMar>
            <w:gridSpan w:val="5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Th1/Pro-inflammatory Response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CXCL9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C-X-C motif chemokine ligand 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 cell recruitment, IFN-γ-inducible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Chemokine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TNF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Tumor necrosis factor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Pro-inflammatory, induces cachexia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Cytokine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Inflammatory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IFNγ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Interferon gamma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Th1 master regulator, parasite control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Cytokine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IL-6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Interleukin 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Acute phase response, inflammation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Cytokine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Inflammatory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Genes selected based on established roles in parasite immunity. Expression normalized using quantile normalization with GAPDH and PPIB as housekeeping genes.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b w:val="true"/>
                <w:rFonts w:ascii="Calibri" w:hAnsi="Calibri"/>
                <w:sz w:val="20"/>
              </w:rPr>
              <w:t xml:space="preserve">Source:</w:t>
            </w:r>
            <w:r>
              <w:rPr>
                <w:rFonts w:ascii="Calibri" w:hAnsi="Calibri"/>
                <w:sz w:val="20"/>
              </w:rPr>
              <w:t xml:space="preserve"> Webster et al. (2025) </w:t>
            </w:r>
            <w:r>
              <w:rPr>
                <w:i/>
                <w:rFonts w:ascii="Calibri" w:hAnsi="Calibri"/>
                <w:sz w:val="20"/>
              </w:rPr>
              <w:t xml:space="preserve">in review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2025-06-27T13:51:55Z</dcterms:created>
  <dcterms:modified xsi:type="dcterms:W3CDTF">2025-06-27T13:51:55Z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