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Complete parameter estimates for models testing genetic and sex-specific effects on immune-predicted weight loss (n = 304)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Info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Model 1: Genetic baseline&lt;br&gt;&lt;span style='font-size:11px; font-style:italic'&gt;R² = 0.019, F(3,300) = 1.94, p = 0.122, AIC = 1419&lt;/span&gt;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Residual SE: 2.47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9.570 (0.411)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-0.154 (0.666)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-0.392 (2.035)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 × 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4.015 (3.436)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df: 300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Model 2: Main effects&lt;br&gt;&lt;span style='font-size:11px; font-style:italic'&gt;R² = 0.063, F(4,299) = 5.05, p &lt; 0.001, AIC = 1407&lt;/span&gt;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Residual SE: 2.42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9.053 (0.372)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-0.090 (0.278)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0.185 (0.406)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1.556 (1.014)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1.125 (0.285)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3.94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&lt;0.001***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df: 299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Model 3: Two-way interactions&lt;br&gt;&lt;span style='font-size:11px; font-style:italic'&gt;R² = 0.093, F(10,293) = 2.99, p = 0.001, AIC = 1409&lt;/span&gt;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Residual SE: 2.40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9.316 (0.514)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-1.308 (0.736)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-0.670 (0.828)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1.286 (2.379)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2.320 (0.795)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2.92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0.004**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× 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2.144 (0.833)</w:t>
            </w:r>
            <w:r>
              <w:rPr>
                <w:vertAlign w:val="superscript"/>
                <w:i/>
                <w:rFonts w:ascii="Calibri" w:hAnsi="Calibri"/>
                <w:sz w:val="20"/>
                <w:color w:val="1976D2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2.57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0.011*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× 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0.547 (2.076)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×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-0.369 (0.571)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 × 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1.692 (3.508)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 ×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-1.299 (0.841)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 ×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-0.908 (2.095)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df: 293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 = Hybrid Index (0 = pure M. m. domesticus, 1 = pure M. m. musculus)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He = Expected heterozygosity = 2 × HI × (1 - HI), measuring genetic admixture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Significance codes: ***p &lt; 0.001, **p &lt; 0.01, *p &lt; 0.05, . p &lt; 0.1</w:t>
            </w:r>
            \line 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Models compared using likelihood ratio tests.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2025-06-27T15:22:47Z</dcterms:created>
  <dcterms:modified xsi:type="dcterms:W3CDTF">2025-06-27T15:22:47Z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