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BAB IV (DRAF PERLUASAN — BAGIAN A)</w:t>
      </w:r>
    </w:p>
    <w:p>
      <w:pPr>
        <w:spacing w:after="200"/>
        <w:jc w:val="center"/>
      </w:pPr>
      <w:r>
        <w:rPr>
          <w:rFonts w:ascii="Times New Roman" w:cs="Times New Roman" w:eastAsia="Times New Roman" w:hAnsi="Times New Roman"/>
          <w:b/>
          <w:bCs/>
          <w:sz w:val="28"/>
          <w:szCs w:val="28"/>
        </w:rPr>
        <w:t xml:space="preserve">PAPARAN DATA SITUS 1: PONDOK PESANTREN AN-NAJIYAH II</w:t>
      </w:r>
    </w:p>
    <w:p>
      <w:pPr>
        <w:spacing w:after="600"/>
        <w:jc w:val="center"/>
      </w:pPr>
      <w:r>
        <w:rPr>
          <w:rFonts w:ascii="Times New Roman" w:cs="Times New Roman" w:eastAsia="Times New Roman" w:hAnsi="Times New Roman"/>
          <w:i/>
          <w:iCs/>
          <w:sz w:val="22"/>
          <w:szCs w:val="22"/>
        </w:rPr>
        <w:t xml:space="preserve">(Draf untuk ditinjau sebelum penyusunan Situs 2, C–D–E–F, dan penggabungan akhir)</w:t>
      </w:r>
    </w:p>
    <w:p>
      <w:pPr>
        <w:pStyle w:val="Heading1"/>
        <w:spacing w:after="240" w:before="480"/>
      </w:pPr>
      <w:r>
        <w:rPr>
          <w:rFonts w:ascii="Times New Roman" w:cs="Times New Roman" w:eastAsia="Times New Roman" w:hAnsi="Times New Roman"/>
          <w:b/>
          <w:bCs/>
          <w:sz w:val="32"/>
          <w:szCs w:val="32"/>
        </w:rPr>
        <w:t xml:space="preserve">A. Paparan Data Situs 1: Pondok Pesantren An-Najiyah II Bahrul Ulum Jombang (Versi Diperluas)</w:t>
      </w:r>
    </w:p>
    <w:p>
      <w:pPr>
        <w:pStyle w:val="Heading2"/>
        <w:spacing w:after="200" w:before="360"/>
      </w:pPr>
      <w:r>
        <w:rPr>
          <w:rFonts w:ascii="Times New Roman" w:cs="Times New Roman" w:eastAsia="Times New Roman" w:hAnsi="Times New Roman"/>
          <w:b/>
          <w:bCs/>
          <w:sz w:val="28"/>
          <w:szCs w:val="28"/>
        </w:rPr>
        <w:t xml:space="preserve">1. Gambaran Umum Pondok Pesantren An-Najiyah II</w:t>
      </w:r>
    </w:p>
    <w:p>
      <w:pPr>
        <w:keepNext w:val="false"/>
        <w:spacing w:after="200" w:line="360"/>
        <w:jc w:val="both"/>
      </w:pPr>
      <w:r>
        <w:rPr>
          <w:rFonts w:ascii="Times New Roman" w:cs="Times New Roman" w:eastAsia="Times New Roman" w:hAnsi="Times New Roman"/>
          <w:sz w:val="24"/>
          <w:szCs w:val="24"/>
        </w:rPr>
        <w:t xml:space="preserve">Pondok Pesantren An-Najiyah II Bahrul Ulum berlokasi di Jalan KH Abdul Wahab Chasbullah, Desa Tambakrejo, Kecamatan Jombang, Kabupaten Jombang, Jawa Timur. Pesantren ini berdiri pada tahun 2005 di bawah asuhan KH Salman Alfarisi, Lc., M.H., yang hingga saat penelitian dilaksanakan telah menjabat sebagai pengasuh selama 21 tahun (PA-S1-01). Berdasarkan data profil kelembagaan (D-S1-01), jumlah santri tercatat sebanyak 309 orang, dengan rentang usia 13–19 tahun, mayoritas berasal dari wilayah Jawa Timur. Pesantren didukung oleh 25 ustaz/ustazah tetap dan 5 ustaz/ustazah tidak tetap, dengan kualifikasi pendidikan dominan lulusan pesantren dan perguruan tinggi keislaman.</w:t>
      </w:r>
    </w:p>
    <w:p>
      <w:pPr>
        <w:keepNext w:val="false"/>
        <w:spacing w:after="200" w:line="360"/>
        <w:jc w:val="both"/>
      </w:pPr>
      <w:r>
        <w:rPr>
          <w:rFonts w:ascii="Times New Roman" w:cs="Times New Roman" w:eastAsia="Times New Roman" w:hAnsi="Times New Roman"/>
          <w:sz w:val="24"/>
          <w:szCs w:val="24"/>
        </w:rPr>
        <w:t xml:space="preserve">An-Najiyah II merupakan pesantren bertipologi salaf yang mengintegrasikan pendidikan diniyah dengan lembaga formal — Madrasah Tsanawiyah, MAN 3, SMK An-Najiyah, dan Mualimin — dalam jenjang Ibtidaiyah, Tsanawiyah, dan Aliyah dengan masa studi enam tahun. Narasi sejarah kelembagaan (D-S1-02) menempatkan pendirian Ma'had An-Najiyyah II sebagai bagian dari upaya “membentuk generasi santri yang memiliki pemahaman agama yang kuat, berakhlak mulia, serta memiliki kemampuan dalam mempelajari dan memahami kitab-kitab turats.” Visi kelembagaan (D-S1-03) merumuskan cita-cita membentuk “santri berakhlakul karimah, berwawasan luas, dan berpegang teguh pada nilai-nilai salafushalih untuk kemajuan umat dan bangsa.”</w:t>
      </w:r>
    </w:p>
    <w:p>
      <w:pPr>
        <w:keepNext w:val="false"/>
        <w:spacing w:after="200" w:line="360"/>
        <w:jc w:val="both"/>
      </w:pPr>
      <w:r>
        <w:rPr>
          <w:rFonts w:ascii="Times New Roman" w:cs="Times New Roman" w:eastAsia="Times New Roman" w:hAnsi="Times New Roman"/>
          <w:sz w:val="24"/>
          <w:szCs w:val="24"/>
        </w:rPr>
        <w:t xml:space="preserve">Sepuluh kitab turats tercatat sebagai materi inti pembelajaran (D-S1-17), tersusun bertahap sesuai jenjang: Jurumiyah dan Imrithi (nahwu dasar–lanjutan, metode bandongan/hafalan), Alfiyah Ibnu Malik (nahwu lanjutan tingkat Mualimin, metode musyawarah dan hafalan), Qowaidu Sharfiyah Juz 1–2 (sharaf dasar–lanjutan), Fathul Qarib (fikih tingkat Tsanawiyah), Fathul Mu'in (fikih tingkat Mualimin), Tijan ad-Darori dan Fathul Majid (tauhid), serta Amsilati Tasrifiyah (sharaf dasar, metode hafalan). Konfigurasi kitab ini menunjukkan struktur kurikulum yang berjenjang secara eksplisit dari Ibtidaiyah hingga Mualimin.</w:t>
      </w:r>
    </w:p>
    <w:p>
      <w:pPr>
        <w:pStyle w:val="Heading2"/>
        <w:spacing w:after="200" w:before="360"/>
      </w:pPr>
      <w:r>
        <w:rPr>
          <w:rFonts w:ascii="Times New Roman" w:cs="Times New Roman" w:eastAsia="Times New Roman" w:hAnsi="Times New Roman"/>
          <w:b/>
          <w:bCs/>
          <w:sz w:val="28"/>
          <w:szCs w:val="28"/>
        </w:rPr>
        <w:t xml:space="preserve">2. Strategi Lingkungan Pembelajaran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Fisik</w:t>
      </w:r>
    </w:p>
    <w:p>
      <w:pPr>
        <w:keepNext w:val="false"/>
        <w:spacing w:after="200" w:line="360"/>
        <w:jc w:val="both"/>
      </w:pPr>
      <w:r>
        <w:rPr>
          <w:rFonts w:ascii="Times New Roman" w:cs="Times New Roman" w:eastAsia="Times New Roman" w:hAnsi="Times New Roman"/>
          <w:sz w:val="24"/>
          <w:szCs w:val="24"/>
        </w:rPr>
        <w:t xml:space="preserve">Observasi sesi pertama (OBS-S1-01, 11 April 2026) mencatat bahwa ruang belajar/aula pengajian berjumlah delapan unit, digunakan secara rutin untuk kegiatan pembelajaran dan pengajian, dengan kondisi “baik” menurut data sarana kelembagaan (D-S1-10). Kondisi ruang belajar dideskripsikan sebagai berikut:</w:t>
      </w:r>
    </w:p>
    <w:p>
      <w:pPr>
        <w:spacing w:after="60" w:before="120" w:line="340"/>
        <w:ind w:left="720" w:right="720"/>
        <w:jc w:val="both"/>
      </w:pPr>
      <w:r>
        <w:rPr>
          <w:rFonts w:ascii="Times New Roman" w:cs="Times New Roman" w:eastAsia="Times New Roman" w:hAnsi="Times New Roman"/>
          <w:i/>
          <w:iCs/>
          <w:sz w:val="22"/>
          <w:szCs w:val="22"/>
        </w:rPr>
        <w:t xml:space="preserve">"Ruang belajar tersedia dan digunakan untuk kegiatan pembelajaran kitab turats. Kondisi relatif kondusif."</w:t>
      </w:r>
    </w:p>
    <w:p>
      <w:pPr>
        <w:spacing w:after="220"/>
        <w:ind w:left="720" w:right="720"/>
        <w:jc w:val="right"/>
      </w:pPr>
      <w:r>
        <w:rPr>
          <w:rFonts w:ascii="Times New Roman" w:cs="Times New Roman" w:eastAsia="Times New Roman" w:hAnsi="Times New Roman"/>
          <w:sz w:val="20"/>
          <w:szCs w:val="20"/>
        </w:rPr>
        <w:t xml:space="preserve">(OBS-S1, Lembar Observasi A.1)</w:t>
      </w:r>
    </w:p>
    <w:p>
      <w:pPr>
        <w:keepNext w:val="false"/>
        <w:spacing w:after="200" w:line="360"/>
        <w:jc w:val="both"/>
      </w:pPr>
      <w:r>
        <w:rPr>
          <w:rFonts w:ascii="Times New Roman" w:cs="Times New Roman" w:eastAsia="Times New Roman" w:hAnsi="Times New Roman"/>
          <w:sz w:val="24"/>
          <w:szCs w:val="24"/>
        </w:rPr>
        <w:t xml:space="preserve">Fasilitas penerangan mendukung pelaksanaan pengajian pada waktu Ba'da Maghrib dan Isya, sedangkan ventilasi dan kebersihan ruang dinilai “baik” dan “cukup” dalam catatan sarana. Perlu dicatat secara jujur bahwa data sarana kelembagaan (D-S1-10) juga mencatat ketiadaan perpustakaan kitab (tercatat “0” pada item Jumlah dan Kondisi Kitab Tersedia) — kondisi ini menjadi salah satu keterbatasan lingkungan fisik yang teridentifikasi dan tidak disembunyikan dalam paparan ini. Sebagai gantinya, akses santri terhadap kitab berlangsung melalui kepemilikan kitab pribadi yang dibawa pada setiap sesi pengajian, sebagaimana teramati pada OBS-S1-04: santri “membawa kitab masing-masing dan mengikuti pembelajaran di ruang pengajian.”</w:t>
      </w:r>
    </w:p>
    <w:p>
      <w:pPr>
        <w:keepNext w:val="false"/>
        <w:spacing w:after="200" w:line="360"/>
        <w:jc w:val="both"/>
      </w:pPr>
      <w:r>
        <w:rPr>
          <w:rFonts w:ascii="Times New Roman" w:cs="Times New Roman" w:eastAsia="Times New Roman" w:hAnsi="Times New Roman"/>
          <w:sz w:val="24"/>
          <w:szCs w:val="24"/>
        </w:rPr>
        <w:t xml:space="preserve">Mushala berada dalam kondisi baik dan menjadi pusat kegiatan ibadah sekaligus sebagian kegiatan pembelajaran (D-S1-10; OBS-S1-11). Asrama berjumlah lima unit dengan kondisi “baik,” berfungsi sebagai ruang kehidupan sehari-hari yang juga menopang aktivitas belajar malam (D-S1-10).</w:t>
      </w:r>
    </w:p>
    <w:p>
      <w:pPr>
        <w:pStyle w:val="Heading3"/>
        <w:spacing w:after="160" w:before="280"/>
      </w:pPr>
      <w:r>
        <w:rPr>
          <w:rFonts w:ascii="Times New Roman" w:cs="Times New Roman" w:eastAsia="Times New Roman" w:hAnsi="Times New Roman"/>
          <w:b/>
          <w:bCs/>
          <w:i w:val="false"/>
          <w:iCs w:val="false"/>
          <w:sz w:val="26"/>
          <w:szCs w:val="26"/>
        </w:rPr>
        <w:t xml:space="preserve">b. Lingkungan Akademik</w:t>
      </w:r>
    </w:p>
    <w:p>
      <w:pPr>
        <w:keepNext w:val="false"/>
        <w:spacing w:after="200" w:line="360"/>
        <w:jc w:val="both"/>
      </w:pPr>
      <w:r>
        <w:rPr>
          <w:rFonts w:ascii="Times New Roman" w:cs="Times New Roman" w:eastAsia="Times New Roman" w:hAnsi="Times New Roman"/>
          <w:sz w:val="24"/>
          <w:szCs w:val="24"/>
        </w:rPr>
        <w:t xml:space="preserve">Sistem pendidikan An-Najiyah II secara eksplisit dirumuskan dalam profil kelembagaan (D-S1-01, bagian E) sebagai berikut:</w:t>
      </w:r>
    </w:p>
    <w:p>
      <w:pPr>
        <w:spacing w:after="60" w:before="120" w:line="340"/>
        <w:ind w:left="720" w:right="720"/>
        <w:jc w:val="both"/>
      </w:pPr>
      <w:r>
        <w:rPr>
          <w:rFonts w:ascii="Times New Roman" w:cs="Times New Roman" w:eastAsia="Times New Roman" w:hAnsi="Times New Roman"/>
          <w:i/>
          <w:iCs/>
          <w:sz w:val="22"/>
          <w:szCs w:val="22"/>
        </w:rPr>
        <w:t xml:space="preserve">"Salah satu karakteristik Ma'had An-Najiyyah II adalah adanya perhatian terhadap pengembangan kemampuan santri dalam mempelajari kitab turats. Hal tersebut diwujudkan melalui beberapa program pembelajaran, antara lain Forum Mudzakarah Ilmiyyah, pengajian weton sore dan diniyah malam fokus dalam pembelajaran membaca kitab dan memahami isinya, program setoran hafalan matan-matan kitab, Program Penetapan Target Bacaan Mingguan, dan Strategi Belajar Malam Wajib Berbasis Pendampingan (ma'arif)."</w:t>
      </w:r>
    </w:p>
    <w:p>
      <w:pPr>
        <w:spacing w:after="220"/>
        <w:ind w:left="720" w:right="720"/>
        <w:jc w:val="right"/>
      </w:pPr>
      <w:r>
        <w:rPr>
          <w:rFonts w:ascii="Times New Roman" w:cs="Times New Roman" w:eastAsia="Times New Roman" w:hAnsi="Times New Roman"/>
          <w:sz w:val="20"/>
          <w:szCs w:val="20"/>
        </w:rPr>
        <w:t xml:space="preserve">(D-S1-01, bagian E)</w:t>
      </w:r>
    </w:p>
    <w:p>
      <w:pPr>
        <w:keepNext w:val="false"/>
        <w:spacing w:after="200" w:line="360"/>
        <w:jc w:val="both"/>
      </w:pPr>
      <w:r>
        <w:rPr>
          <w:rFonts w:ascii="Times New Roman" w:cs="Times New Roman" w:eastAsia="Times New Roman" w:hAnsi="Times New Roman"/>
          <w:b/>
          <w:bCs/>
          <w:sz w:val="24"/>
          <w:szCs w:val="24"/>
        </w:rPr>
        <w:t xml:space="preserve">Sorogan dan bandongan.</w:t>
      </w:r>
      <w:r>
        <w:rPr>
          <w:rFonts w:ascii="Times New Roman" w:cs="Times New Roman" w:eastAsia="Times New Roman" w:hAnsi="Times New Roman"/>
          <w:sz w:val="24"/>
          <w:szCs w:val="24"/>
        </w:rPr>
        <w:t xml:space="preserve"> Observasi terhadap pelaksanaan sorogan (OBS-S1-04, Lembar B.1) mencatat prosedur: santri dipanggil bergiliran untuk membaca bagian kitab yang ditentukan di hadapan ustaz, menerjemahkan dan menjelaskan sesuai kemampuan, kemudian menerima simakan dan koreksi. Koreksi diberikan secara langsung selama proses membaca, “tidak hanya diberikan setelah santri selesai membaca,” sehingga santri “mengenali kesalahan dan memperbaiki kemampuan membaca kitab secara bertahap.” Ustaz PA-S1-01 menegaskan filosofi di balik praktik ini:</w:t>
      </w:r>
    </w:p>
    <w:p>
      <w:pPr>
        <w:spacing w:after="60" w:before="120" w:line="340"/>
        <w:ind w:left="720" w:right="720"/>
        <w:jc w:val="both"/>
      </w:pPr>
      <w:r>
        <w:rPr>
          <w:rFonts w:ascii="Times New Roman" w:cs="Times New Roman" w:eastAsia="Times New Roman" w:hAnsi="Times New Roman"/>
          <w:i/>
          <w:iCs/>
          <w:sz w:val="22"/>
          <w:szCs w:val="22"/>
        </w:rPr>
        <w:t xml:space="preserve">"Yang paling penting adalah membiasakan santri dengan kegiatan keilmuan. Pengajian kitab tidak hanya dilakukan di kelas, tetapi suasana pesantren juga diarahkan supaya santri terbiasa belajar dan berdiskusi tentang ilmu agama."</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Ustaz pengampu kitab (US-S1-02) menjelaskan pendekatan bandongan/wetonan:</w:t>
      </w:r>
    </w:p>
    <w:p>
      <w:pPr>
        <w:spacing w:after="60" w:before="120" w:line="340"/>
        <w:ind w:left="720" w:right="720"/>
        <w:jc w:val="both"/>
      </w:pPr>
      <w:r>
        <w:rPr>
          <w:rFonts w:ascii="Times New Roman" w:cs="Times New Roman" w:eastAsia="Times New Roman" w:hAnsi="Times New Roman"/>
          <w:i/>
          <w:iCs/>
          <w:sz w:val="22"/>
          <w:szCs w:val="22"/>
        </w:rPr>
        <w:t xml:space="preserve">"Biasanya kitab dibaca terlebih dahulu, kemudian maknanya dijelaskan. Kalau ada bagian yang sulit, saya jelaskan dengan bahasa yang lebih mudah supaya santri memahami maksud dari teks tersebut."</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sz w:val="24"/>
          <w:szCs w:val="24"/>
        </w:rPr>
        <w:t xml:space="preserve">Untuk santri yang mengalami kesulitan, US-S1-02 menerapkan pendekatan bertahap:</w:t>
      </w:r>
    </w:p>
    <w:p>
      <w:pPr>
        <w:spacing w:after="60" w:before="120" w:line="340"/>
        <w:ind w:left="720" w:right="720"/>
        <w:jc w:val="both"/>
      </w:pPr>
      <w:r>
        <w:rPr>
          <w:rFonts w:ascii="Times New Roman" w:cs="Times New Roman" w:eastAsia="Times New Roman" w:hAnsi="Times New Roman"/>
          <w:i/>
          <w:iCs/>
          <w:sz w:val="22"/>
          <w:szCs w:val="22"/>
        </w:rPr>
        <w:t xml:space="preserve">"Kalau ada yang kesulitan biasanya dibimbing secara bertahap. Santri yang belum lancar tidak langsung dituntut seperti santri yang sudah lama belajar. Mereka diberikan kesempatan untuk berlatih dan bertanya."</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b/>
          <w:bCs/>
          <w:sz w:val="24"/>
          <w:szCs w:val="24"/>
        </w:rPr>
        <w:t xml:space="preserve">Target Bacaan Mingguan.</w:t>
      </w:r>
      <w:r>
        <w:rPr>
          <w:rFonts w:ascii="Times New Roman" w:cs="Times New Roman" w:eastAsia="Times New Roman" w:hAnsi="Times New Roman"/>
          <w:sz w:val="24"/>
          <w:szCs w:val="24"/>
        </w:rPr>
        <w:t xml:space="preserve"> Program ini didokumentasikan sebagai “program yang memotivasi para santri untuk menyelesaikan sejumlah halaman atau tema tertentu dari kitab turats setiap minggu” (D-S1-01, bagian J). Pengurus divisi pendidikan (PG-S1-03) menjelaskan pengelolaan program dan jadwal secara umum:</w:t>
      </w:r>
    </w:p>
    <w:p>
      <w:pPr>
        <w:spacing w:after="60" w:before="120" w:line="340"/>
        <w:ind w:left="720" w:right="720"/>
        <w:jc w:val="both"/>
      </w:pPr>
      <w:r>
        <w:rPr>
          <w:rFonts w:ascii="Times New Roman" w:cs="Times New Roman" w:eastAsia="Times New Roman" w:hAnsi="Times New Roman"/>
          <w:i/>
          <w:iCs/>
          <w:sz w:val="22"/>
          <w:szCs w:val="22"/>
        </w:rPr>
        <w:t xml:space="preserve">"Untuk jadwal pengajian kitab itu sudah diatur oleh pengurus bagian pendidikan. Jadwal disesuaikan dengan kegiatan pesantren yang lain, jadi tidak berdiri sendiri."</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Dokumentasi program (D-S1-07) tercatat dalam Log Dokumen Terkumpul sebagai bukti fisik implementasi target bacaan.</w:t>
      </w:r>
    </w:p>
    <w:p>
      <w:pPr>
        <w:keepNext w:val="false"/>
        <w:spacing w:after="200" w:line="360"/>
        <w:jc w:val="both"/>
      </w:pPr>
      <w:r>
        <w:rPr>
          <w:rFonts w:ascii="Times New Roman" w:cs="Times New Roman" w:eastAsia="Times New Roman" w:hAnsi="Times New Roman"/>
          <w:b/>
          <w:bCs/>
          <w:sz w:val="24"/>
          <w:szCs w:val="24"/>
        </w:rPr>
        <w:t xml:space="preserve">Forum Mudzakarah Ilmiyyah.</w:t>
      </w:r>
      <w:r>
        <w:rPr>
          <w:rFonts w:ascii="Times New Roman" w:cs="Times New Roman" w:eastAsia="Times New Roman" w:hAnsi="Times New Roman"/>
          <w:sz w:val="24"/>
          <w:szCs w:val="24"/>
        </w:rPr>
        <w:t xml:space="preserve"> Forum ini dilaksanakan secara rutin sebagai ruang pembahasan dan pengulangan materi secara ilmiah (D-S1-01). Observasi terhadap pelaksanaannya (OBS-S1-07, OBS-S1-08) mencatat bahwa forum digunakan untuk “membahas materi keilmuan dan kitab,” memberikan “ruang bagi santri untuk mengembangkan kemampuan memahami dan menjelaskan materi.” Catatan lapangan (CL-01/S1, 18 April 2026) merekam suasana pengajian malam secara naratif:</w:t>
      </w:r>
    </w:p>
    <w:p>
      <w:pPr>
        <w:spacing w:after="60" w:before="120" w:line="340"/>
        <w:ind w:left="720" w:right="720"/>
        <w:jc w:val="both"/>
      </w:pPr>
      <w:r>
        <w:rPr>
          <w:rFonts w:ascii="Times New Roman" w:cs="Times New Roman" w:eastAsia="Times New Roman" w:hAnsi="Times New Roman"/>
          <w:i/>
          <w:iCs/>
          <w:sz w:val="22"/>
          <w:szCs w:val="22"/>
        </w:rPr>
        <w:t xml:space="preserve">"Kegiatan dimulai dengan persiapan santri dan pembukaan oleh ustaz. Ustaz kemudian membaca bagian kitab yang sedang dipelajari dan memberikan penjelasan mengenai makna serta maksud pembahasan... Ketika terdapat bacaan yang sulit, ustaz memberikan penjelasan dan meminta santri memperhatikan cara membaca kata tersebut."</w:t>
      </w:r>
    </w:p>
    <w:p>
      <w:pPr>
        <w:spacing w:after="220"/>
        <w:ind w:left="720" w:right="720"/>
        <w:jc w:val="right"/>
      </w:pPr>
      <w:r>
        <w:rPr>
          <w:rFonts w:ascii="Times New Roman" w:cs="Times New Roman" w:eastAsia="Times New Roman" w:hAnsi="Times New Roman"/>
          <w:sz w:val="20"/>
          <w:szCs w:val="20"/>
        </w:rPr>
        <w:t xml:space="preserve">(CL-01/S1, 18 April 2026)</w:t>
      </w:r>
    </w:p>
    <w:p>
      <w:pPr>
        <w:keepNext w:val="false"/>
        <w:spacing w:after="200" w:line="360"/>
        <w:jc w:val="both"/>
      </w:pPr>
      <w:r>
        <w:rPr>
          <w:rFonts w:ascii="Times New Roman" w:cs="Times New Roman" w:eastAsia="Times New Roman" w:hAnsi="Times New Roman"/>
          <w:sz w:val="24"/>
          <w:szCs w:val="24"/>
        </w:rPr>
        <w:t xml:space="preserve">Dalam catatan lapangan yang sama, terekam ungkapan langsung ustaz kepada santri:</w:t>
      </w:r>
    </w:p>
    <w:p>
      <w:pPr>
        <w:spacing w:after="60" w:before="120" w:line="340"/>
        <w:ind w:left="720" w:right="720"/>
        <w:jc w:val="both"/>
      </w:pPr>
      <w:r>
        <w:rPr>
          <w:rFonts w:ascii="Times New Roman" w:cs="Times New Roman" w:eastAsia="Times New Roman" w:hAnsi="Times New Roman"/>
          <w:i/>
          <w:iCs/>
          <w:sz w:val="22"/>
          <w:szCs w:val="22"/>
        </w:rPr>
        <w:t xml:space="preserve">"Jangan hanya mendengarkan, perhatikan kitabnya dan coba baca sendiri."</w:t>
      </w:r>
    </w:p>
    <w:p>
      <w:pPr>
        <w:spacing w:after="220"/>
        <w:ind w:left="720" w:right="720"/>
        <w:jc w:val="right"/>
      </w:pPr>
      <w:r>
        <w:rPr>
          <w:rFonts w:ascii="Times New Roman" w:cs="Times New Roman" w:eastAsia="Times New Roman" w:hAnsi="Times New Roman"/>
          <w:sz w:val="20"/>
          <w:szCs w:val="20"/>
        </w:rPr>
        <w:t xml:space="preserve">(CL-01/S1)</w:t>
      </w:r>
    </w:p>
    <w:p>
      <w:pPr>
        <w:keepNext w:val="false"/>
        <w:spacing w:after="200" w:line="360"/>
        <w:jc w:val="both"/>
      </w:pPr>
      <w:r>
        <w:rPr>
          <w:rFonts w:ascii="Times New Roman" w:cs="Times New Roman" w:eastAsia="Times New Roman" w:hAnsi="Times New Roman"/>
          <w:b/>
          <w:bCs/>
          <w:sz w:val="24"/>
          <w:szCs w:val="24"/>
        </w:rPr>
        <w:t xml:space="preserve">Belajar Malam Wajib Berbasis Pendampingan.</w:t>
      </w:r>
      <w:r>
        <w:rPr>
          <w:rFonts w:ascii="Times New Roman" w:cs="Times New Roman" w:eastAsia="Times New Roman" w:hAnsi="Times New Roman"/>
          <w:sz w:val="24"/>
          <w:szCs w:val="24"/>
        </w:rPr>
        <w:t xml:space="preserve"> Program ini dideskripsikan sebagai “kegiatan pengawasan dan pendampingan pembelajaran para santri di setiap kamar sesuai kelasnya masing-masing oleh ustadz pendamping untuk membantu santri mengulang dan memahami materi yang telah dipelajari di kelas” (D-S1-01, bagian J). Observasi (OBS-S1-06) mencatat pelaksanaan program ini melalui indikator kehadiran dan aktivitas belajar yang terpantau melalui catatan/absensi.</w:t>
      </w:r>
    </w:p>
    <w:p>
      <w:pPr>
        <w:pStyle w:val="Heading3"/>
        <w:spacing w:after="160" w:before="280"/>
      </w:pPr>
      <w:r>
        <w:rPr>
          <w:rFonts w:ascii="Times New Roman" w:cs="Times New Roman" w:eastAsia="Times New Roman" w:hAnsi="Times New Roman"/>
          <w:b/>
          <w:bCs/>
          <w:i w:val="false"/>
          <w:iCs w:val="false"/>
          <w:sz w:val="26"/>
          <w:szCs w:val="26"/>
        </w:rPr>
        <w:t xml:space="preserve">c. Lingkungan Sosial</w:t>
      </w:r>
    </w:p>
    <w:p>
      <w:pPr>
        <w:keepNext w:val="false"/>
        <w:spacing w:after="200" w:line="360"/>
        <w:jc w:val="both"/>
      </w:pPr>
      <w:r>
        <w:rPr>
          <w:rFonts w:ascii="Times New Roman" w:cs="Times New Roman" w:eastAsia="Times New Roman" w:hAnsi="Times New Roman"/>
          <w:sz w:val="24"/>
          <w:szCs w:val="24"/>
        </w:rPr>
        <w:t xml:space="preserve">Interaksi ustaz–santri berlangsung dalam pola bimbingan dan koreksi yang konsisten. PA-S1-01 merumuskan pandangannya tentang faktor penentu keberhasilan santri:</w:t>
      </w:r>
    </w:p>
    <w:p>
      <w:pPr>
        <w:spacing w:after="60" w:before="120" w:line="340"/>
        <w:ind w:left="720" w:right="720"/>
        <w:jc w:val="both"/>
      </w:pPr>
      <w:r>
        <w:rPr>
          <w:rFonts w:ascii="Times New Roman" w:cs="Times New Roman" w:eastAsia="Times New Roman" w:hAnsi="Times New Roman"/>
          <w:i/>
          <w:iCs/>
          <w:sz w:val="22"/>
          <w:szCs w:val="22"/>
        </w:rPr>
        <w:t xml:space="preserve">"Menurut saya yang paling penting adalah kemauan santri, kemudian bimbingan ustaz dan lingkungan pesantren. Kalau santri punya kemauan dan berada dalam lingkungan yang mendukung, insyaallah kemampuan mereka akan berkembang."</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Dukungan antarsantri, khususnya relasi senior–junior, ditegaskan oleh PG-S1-03:</w:t>
      </w:r>
    </w:p>
    <w:p>
      <w:pPr>
        <w:spacing w:after="60" w:before="120" w:line="340"/>
        <w:ind w:left="720" w:right="720"/>
        <w:jc w:val="both"/>
      </w:pPr>
      <w:r>
        <w:rPr>
          <w:rFonts w:ascii="Times New Roman" w:cs="Times New Roman" w:eastAsia="Times New Roman" w:hAnsi="Times New Roman"/>
          <w:i/>
          <w:iCs/>
          <w:sz w:val="22"/>
          <w:szCs w:val="22"/>
        </w:rPr>
        <w:t xml:space="preserve">"Kami berusaha menjaga supaya santri saling mengingatkan dalam kegiatan. Santri senior juga diharapkan membantu junior, terutama kalau junior mengalami kesulitan dalam membaca kitab."</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Dari perspektif santri senior (SS-S1-04), pengaruh lingkungan pertemanan dinyatakan secara langsung:</w:t>
      </w:r>
    </w:p>
    <w:p>
      <w:pPr>
        <w:spacing w:after="60" w:before="120" w:line="340"/>
        <w:ind w:left="720" w:right="720"/>
        <w:jc w:val="both"/>
      </w:pPr>
      <w:r>
        <w:rPr>
          <w:rFonts w:ascii="Times New Roman" w:cs="Times New Roman" w:eastAsia="Times New Roman" w:hAnsi="Times New Roman"/>
          <w:i/>
          <w:iCs/>
          <w:sz w:val="22"/>
          <w:szCs w:val="22"/>
        </w:rPr>
        <w:t xml:space="preserve">"Menurut saya semuanya berpengaruh, tetapi lingkungan sangat penting. Kalau teman-teman juga belajar kitab, kita ikut terdorong. Ustaz juga berpengaruh karena cara menjelaskan bisa membuat santri tertarik atau malah bosan."</w:t>
      </w:r>
    </w:p>
    <w:p>
      <w:pPr>
        <w:spacing w:after="220"/>
        <w:ind w:left="720" w:right="720"/>
        <w:jc w:val="right"/>
      </w:pPr>
      <w:r>
        <w:rPr>
          <w:rFonts w:ascii="Times New Roman" w:cs="Times New Roman" w:eastAsia="Times New Roman" w:hAnsi="Times New Roman"/>
          <w:sz w:val="20"/>
          <w:szCs w:val="20"/>
        </w:rPr>
        <w:t xml:space="preserve">(SS-S1-04, TR-SS-S1-04)</w:t>
      </w:r>
    </w:p>
    <w:p>
      <w:pPr>
        <w:keepNext w:val="false"/>
        <w:spacing w:after="200" w:line="360"/>
        <w:jc w:val="both"/>
      </w:pPr>
      <w:r>
        <w:rPr>
          <w:rFonts w:ascii="Times New Roman" w:cs="Times New Roman" w:eastAsia="Times New Roman" w:hAnsi="Times New Roman"/>
          <w:sz w:val="24"/>
          <w:szCs w:val="24"/>
        </w:rPr>
        <w:t xml:space="preserve">Dari sisi santri junior (SJ-S1-05), bantuan ustaz dalam koreksi bacaan menjadi titik masuk penting dalam relasi belajar:</w:t>
      </w:r>
    </w:p>
    <w:p>
      <w:pPr>
        <w:spacing w:after="60" w:before="120" w:line="340"/>
        <w:ind w:left="720" w:right="720"/>
        <w:jc w:val="both"/>
      </w:pPr>
      <w:r>
        <w:rPr>
          <w:rFonts w:ascii="Times New Roman" w:cs="Times New Roman" w:eastAsia="Times New Roman" w:hAnsi="Times New Roman"/>
          <w:i/>
          <w:iCs/>
          <w:sz w:val="22"/>
          <w:szCs w:val="22"/>
        </w:rPr>
        <w:t xml:space="preserve">"Ustaz membantu menjelaskan bagian yang sulit dan membenarkan kalau bacaan kita salah. Dari situ saya jadi tahu bagaimana cara membaca yang benar."</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sz w:val="24"/>
          <w:szCs w:val="24"/>
        </w:rPr>
        <w:t xml:space="preserve">Observasi lapangan (OBS-S1-09, OBS-S1-10) mengonfirmasi pola ini melalui catatan interaksi ustaz-pendamping dengan santri selama belajar malam, serta kerja sama antarsantri dalam Forum Mudzakarah Ilmiyyah.</w:t>
      </w:r>
    </w:p>
    <w:p>
      <w:pPr>
        <w:pStyle w:val="Heading3"/>
        <w:spacing w:after="160" w:before="280"/>
      </w:pPr>
      <w:r>
        <w:rPr>
          <w:rFonts w:ascii="Times New Roman" w:cs="Times New Roman" w:eastAsia="Times New Roman" w:hAnsi="Times New Roman"/>
          <w:b/>
          <w:bCs/>
          <w:i w:val="false"/>
          <w:iCs w:val="false"/>
          <w:sz w:val="26"/>
          <w:szCs w:val="26"/>
        </w:rPr>
        <w:t xml:space="preserve">d. Lingkungan Religius</w:t>
      </w:r>
    </w:p>
    <w:p>
      <w:pPr>
        <w:keepNext w:val="false"/>
        <w:spacing w:after="200" w:line="360"/>
        <w:jc w:val="both"/>
      </w:pPr>
      <w:r>
        <w:rPr>
          <w:rFonts w:ascii="Times New Roman" w:cs="Times New Roman" w:eastAsia="Times New Roman" w:hAnsi="Times New Roman"/>
          <w:sz w:val="24"/>
          <w:szCs w:val="24"/>
        </w:rPr>
        <w:t xml:space="preserve">Aspek religius tercermin dalam kegiatan keagamaan rutin — shalat berjamaah, dzikir, dan kegiatan daurah ilmiyah bersama masyayikh atau tamu dari Timur Tengah (D-S1-01, bagian K). Budaya ta'dzim (penghormatan) kepada ustaz dan pengasuh ditegaskan sebagai bagian dari amaliyah harian santri: “Hubungan guru dan santri dibangun atas dasar adab dan ta'dzim. Santri dibiasakan menghormati, menaati arahan, dan menjaga sopan santun kepada ustaz dan pengasuh” (D-S1-01, bagian K). Observasi religius (OBS-S1-11, OBS-S1-12) mencatat konsistensi doa, adab pengajian, dan pelaksanaan shalat berjamaah yang beririsan dengan keteraturan kegiatan belajar.</w:t>
      </w:r>
    </w:p>
    <w:p>
      <w:pPr>
        <w:pStyle w:val="Heading3"/>
        <w:spacing w:after="160" w:before="280"/>
      </w:pPr>
      <w:r>
        <w:rPr>
          <w:rFonts w:ascii="Times New Roman" w:cs="Times New Roman" w:eastAsia="Times New Roman" w:hAnsi="Times New Roman"/>
          <w:b/>
          <w:bCs/>
          <w:i w:val="false"/>
          <w:iCs w:val="false"/>
          <w:sz w:val="26"/>
          <w:szCs w:val="26"/>
        </w:rPr>
        <w:t xml:space="preserve">e. Budaya Pesantren sebagai Konteks</w:t>
      </w:r>
    </w:p>
    <w:p>
      <w:pPr>
        <w:keepNext w:val="false"/>
        <w:spacing w:after="200" w:line="360"/>
        <w:jc w:val="both"/>
      </w:pPr>
      <w:r>
        <w:rPr>
          <w:rFonts w:ascii="Times New Roman" w:cs="Times New Roman" w:eastAsia="Times New Roman" w:hAnsi="Times New Roman"/>
          <w:sz w:val="24"/>
          <w:szCs w:val="24"/>
        </w:rPr>
        <w:t xml:space="preserve">Sebagaimana dijelaskan pada bagian sebelumnya, kebiasaan, kedisiplinan, dan tradisi keilmuan pada Situs 1 hadir lintas dimensi: Target Bacaan Mingguan dan Belajar Malam Wajib sekaligus mencerminkan pembiasaan akademik dan kedisiplinan; adab kepada ustaz menghubungkan dimensi sosial dan religius. Catatan refleksi peneliti pada kunjungan pendahuluan (D-S1, bagian M, 10 April 2026) merangkum kesan ini:</w:t>
      </w:r>
    </w:p>
    <w:p>
      <w:pPr>
        <w:spacing w:after="60" w:before="120" w:line="340"/>
        <w:ind w:left="720" w:right="720"/>
        <w:jc w:val="both"/>
      </w:pPr>
      <w:r>
        <w:rPr>
          <w:rFonts w:ascii="Times New Roman" w:cs="Times New Roman" w:eastAsia="Times New Roman" w:hAnsi="Times New Roman"/>
          <w:i/>
          <w:iCs/>
          <w:sz w:val="22"/>
          <w:szCs w:val="22"/>
        </w:rPr>
        <w:t xml:space="preserve">"Lingkungan Ma'had An-Najiyyah II menunjukkan suasana pendidikan pesantren yang kuat. Kehidupan santri berlangsung secara terintegrasi antara kegiatan pendidikan, keagamaan dan formal, begitu juga tertibnya kehidupan asrama, dan pembinaan kedisiplinan, serta adab yang selalu dijaga."</w:t>
      </w:r>
    </w:p>
    <w:p>
      <w:pPr>
        <w:spacing w:after="220"/>
        <w:ind w:left="720" w:right="720"/>
        <w:jc w:val="right"/>
      </w:pPr>
      <w:r>
        <w:rPr>
          <w:rFonts w:ascii="Times New Roman" w:cs="Times New Roman" w:eastAsia="Times New Roman" w:hAnsi="Times New Roman"/>
          <w:sz w:val="20"/>
          <w:szCs w:val="20"/>
        </w:rPr>
        <w:t xml:space="preserve">(Catatan Lapangan, D-S1 bagian M, 10 April 2026)</w:t>
      </w:r>
    </w:p>
    <w:p>
      <w:pPr>
        <w:pStyle w:val="Heading2"/>
        <w:spacing w:after="200" w:before="360"/>
      </w:pPr>
      <w:r>
        <w:rPr>
          <w:rFonts w:ascii="Times New Roman" w:cs="Times New Roman" w:eastAsia="Times New Roman" w:hAnsi="Times New Roman"/>
          <w:b/>
          <w:bCs/>
          <w:sz w:val="28"/>
          <w:szCs w:val="28"/>
        </w:rPr>
        <w:t xml:space="preserve">3. Minat Belajar Kitab Turats Santri pada Situs 1</w:t>
      </w:r>
    </w:p>
    <w:p>
      <w:pPr>
        <w:keepNext w:val="false"/>
        <w:spacing w:after="200" w:line="360"/>
        <w:jc w:val="both"/>
      </w:pPr>
      <w:r>
        <w:rPr>
          <w:rFonts w:ascii="Times New Roman" w:cs="Times New Roman" w:eastAsia="Times New Roman" w:hAnsi="Times New Roman"/>
          <w:sz w:val="24"/>
          <w:szCs w:val="24"/>
        </w:rPr>
        <w:t xml:space="preserve">Lembar Observasi E (Minat Belajar Kitab Turats) mencatat sejumlah indikator perilaku yang relevan untuk membaca minat, tanpa menjadikan kehadiran sebagai bukti tunggal. Pada sesi pengamatan di Situs 1, tercatat bahwa “sebagian besar santri telah berada di tempat pengajian sebelum ustaz datang. Beberapa santri langsung menyiapkan kitab,” dan bahwa “beberapa santri mengajukan pertanyaan mengenai arti kata, kedudukan nahwu, dan maksud isi kitab” — pertanyaan yang “lebih banyak muncul dari santri yang aktif mengikuti pembacaan kitab” (Lembar Observasi E.1).</w:t>
      </w:r>
    </w:p>
    <w:p>
      <w:pPr>
        <w:keepNext w:val="false"/>
        <w:spacing w:after="200" w:line="360"/>
        <w:jc w:val="both"/>
      </w:pPr>
      <w:r>
        <w:rPr>
          <w:rFonts w:ascii="Times New Roman" w:cs="Times New Roman" w:eastAsia="Times New Roman" w:hAnsi="Times New Roman"/>
          <w:sz w:val="24"/>
          <w:szCs w:val="24"/>
        </w:rPr>
        <w:t xml:space="preserve">Pada aspek aktivitas mandiri di luar jam formal (Lembar Observasi E.2), ditemukan “beberapa santri membaca kitab secara mandiri pada waktu luang, baik di kamar, tempat belajar, maupun lingkungan pesantren,” serta santri yang “mengulang (muroja'ah) materi kitab secara mandiri... terutama menjelang kegiatan pembelajaran.”</w:t>
      </w:r>
    </w:p>
    <w:p>
      <w:pPr>
        <w:keepNext w:val="false"/>
        <w:spacing w:after="200" w:line="360"/>
        <w:jc w:val="both"/>
      </w:pPr>
      <w:r>
        <w:rPr>
          <w:rFonts w:ascii="Times New Roman" w:cs="Times New Roman" w:eastAsia="Times New Roman" w:hAnsi="Times New Roman"/>
          <w:sz w:val="24"/>
          <w:szCs w:val="24"/>
        </w:rPr>
        <w:t xml:space="preserve">Dari sisi self-report, SS-S1-04 menggambarkan pengalaman motivasionalnya:</w:t>
      </w:r>
    </w:p>
    <w:p>
      <w:pPr>
        <w:spacing w:after="60" w:before="120" w:line="340"/>
        <w:ind w:left="720" w:right="720"/>
        <w:jc w:val="both"/>
      </w:pPr>
      <w:r>
        <w:rPr>
          <w:rFonts w:ascii="Times New Roman" w:cs="Times New Roman" w:eastAsia="Times New Roman" w:hAnsi="Times New Roman"/>
          <w:i/>
          <w:iCs/>
          <w:sz w:val="22"/>
          <w:szCs w:val="22"/>
        </w:rPr>
        <w:t xml:space="preserve">"Karena saya merasa ilmu dari kitab itu penting. Selain itu, kalau sudah bisa membaca dan memahami sendiri rasanya ada kepuasan. Jadi itu yang membuat saya terus belajar."</w:t>
      </w:r>
    </w:p>
    <w:p>
      <w:pPr>
        <w:spacing w:after="220"/>
        <w:ind w:left="720" w:right="720"/>
        <w:jc w:val="right"/>
      </w:pPr>
      <w:r>
        <w:rPr>
          <w:rFonts w:ascii="Times New Roman" w:cs="Times New Roman" w:eastAsia="Times New Roman" w:hAnsi="Times New Roman"/>
          <w:sz w:val="20"/>
          <w:szCs w:val="20"/>
        </w:rPr>
        <w:t xml:space="preserve">(SS-S1-04, TR-SS-S1-04)</w:t>
      </w:r>
    </w:p>
    <w:p>
      <w:pPr>
        <w:keepNext w:val="false"/>
        <w:spacing w:after="200" w:line="360"/>
        <w:jc w:val="both"/>
      </w:pPr>
      <w:r>
        <w:rPr>
          <w:rFonts w:ascii="Times New Roman" w:cs="Times New Roman" w:eastAsia="Times New Roman" w:hAnsi="Times New Roman"/>
          <w:sz w:val="24"/>
          <w:szCs w:val="24"/>
        </w:rPr>
        <w:t xml:space="preserve">Sementara SJ-S1-05, sebagai santri junior, menunjukkan bentuk motivasi yang berorientasi pada kemandirian:</w:t>
      </w:r>
    </w:p>
    <w:p>
      <w:pPr>
        <w:spacing w:after="60" w:before="120" w:line="340"/>
        <w:ind w:left="720" w:right="720"/>
        <w:jc w:val="both"/>
      </w:pPr>
      <w:r>
        <w:rPr>
          <w:rFonts w:ascii="Times New Roman" w:cs="Times New Roman" w:eastAsia="Times New Roman" w:hAnsi="Times New Roman"/>
          <w:i/>
          <w:iCs/>
          <w:sz w:val="22"/>
          <w:szCs w:val="22"/>
        </w:rPr>
        <w:t xml:space="preserve">"Karena ingin bisa membaca kitab dengan lancar dan memahami isinya sendiri. Kalau sudah bisa membaca tanpa banyak bertanya, rasanya lebih puas."</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sz w:val="24"/>
          <w:szCs w:val="24"/>
        </w:rPr>
        <w:t xml:space="preserve">Perbedaan tingkat minat antarsantri diakui secara eksplisit oleh US-S1-02:</w:t>
      </w:r>
    </w:p>
    <w:p>
      <w:pPr>
        <w:spacing w:after="60" w:before="120" w:line="340"/>
        <w:ind w:left="720" w:right="720"/>
        <w:jc w:val="both"/>
      </w:pPr>
      <w:r>
        <w:rPr>
          <w:rFonts w:ascii="Times New Roman" w:cs="Times New Roman" w:eastAsia="Times New Roman" w:hAnsi="Times New Roman"/>
          <w:i/>
          <w:iCs/>
          <w:sz w:val="22"/>
          <w:szCs w:val="22"/>
        </w:rPr>
        <w:t xml:space="preserve">"Minat santri berbeda-beda. Ada yang memang dari awal sudah senang belajar kitab, ada juga yang perlu dibimbing dan dibiasakan. Lingkungan pesantren sangat membantu dalam membentuk kebiasaan tersebut."</w:t>
      </w:r>
    </w:p>
    <w:p>
      <w:pPr>
        <w:spacing w:after="220"/>
        <w:ind w:left="720" w:right="720"/>
        <w:jc w:val="right"/>
      </w:pPr>
      <w:r>
        <w:rPr>
          <w:rFonts w:ascii="Times New Roman" w:cs="Times New Roman" w:eastAsia="Times New Roman" w:hAnsi="Times New Roman"/>
          <w:sz w:val="20"/>
          <w:szCs w:val="20"/>
        </w:rPr>
        <w:t xml:space="preserve">(US-S1-02, TR-US-S1-02)</w:t>
      </w:r>
    </w:p>
    <w:p>
      <w:pPr>
        <w:keepNext w:val="false"/>
        <w:spacing w:after="200" w:line="360"/>
        <w:jc w:val="both"/>
      </w:pPr>
      <w:r>
        <w:rPr>
          <w:rFonts w:ascii="Times New Roman" w:cs="Times New Roman" w:eastAsia="Times New Roman" w:hAnsi="Times New Roman"/>
          <w:sz w:val="24"/>
          <w:szCs w:val="24"/>
        </w:rPr>
        <w:t xml:space="preserve">Data ini menegaskan bahwa minat pada Situs 1 tidak seragam dan tidak dapat direduksi menjadi kehadiran wajib semata, melainkan dibaca melalui kombinasi perhatian, pertanyaan, inisiatif membaca mandiri, dan pernyataan motivasional informan.</w:t>
      </w:r>
    </w:p>
    <w:p>
      <w:pPr>
        <w:pStyle w:val="Heading2"/>
        <w:spacing w:after="200" w:before="360"/>
      </w:pPr>
      <w:r>
        <w:rPr>
          <w:rFonts w:ascii="Times New Roman" w:cs="Times New Roman" w:eastAsia="Times New Roman" w:hAnsi="Times New Roman"/>
          <w:b/>
          <w:bCs/>
          <w:sz w:val="28"/>
          <w:szCs w:val="28"/>
        </w:rPr>
        <w:t xml:space="preserve">4. Faktor Pendukung dan Penghambat pada Situs 1</w:t>
      </w:r>
    </w:p>
    <w:p>
      <w:pPr>
        <w:pStyle w:val="Heading3"/>
        <w:spacing w:after="160" w:before="280"/>
      </w:pPr>
      <w:r>
        <w:rPr>
          <w:rFonts w:ascii="Times New Roman" w:cs="Times New Roman" w:eastAsia="Times New Roman" w:hAnsi="Times New Roman"/>
          <w:b/>
          <w:bCs/>
          <w:i w:val="false"/>
          <w:iCs w:val="false"/>
          <w:sz w:val="26"/>
          <w:szCs w:val="26"/>
        </w:rPr>
        <w:t xml:space="preserve">a. Faktor Pendukung</w:t>
      </w:r>
    </w:p>
    <w:p>
      <w:pPr>
        <w:keepNext w:val="false"/>
        <w:spacing w:after="200" w:line="360"/>
        <w:jc w:val="both"/>
      </w:pPr>
      <w:r>
        <w:rPr>
          <w:rFonts w:ascii="Times New Roman" w:cs="Times New Roman" w:eastAsia="Times New Roman" w:hAnsi="Times New Roman"/>
          <w:sz w:val="24"/>
          <w:szCs w:val="24"/>
        </w:rPr>
        <w:t xml:space="preserve">Kombinasi dukungan kelembagaan, pedagogis, dan sosial tergambar konsisten lintas informan. PG-S1-03 merumuskan tiga faktor utama dari sudut pandang manajerial:</w:t>
      </w:r>
    </w:p>
    <w:p>
      <w:pPr>
        <w:spacing w:after="60" w:before="120" w:line="340"/>
        <w:ind w:left="720" w:right="720"/>
        <w:jc w:val="both"/>
      </w:pPr>
      <w:r>
        <w:rPr>
          <w:rFonts w:ascii="Times New Roman" w:cs="Times New Roman" w:eastAsia="Times New Roman" w:hAnsi="Times New Roman"/>
          <w:i/>
          <w:iCs/>
          <w:sz w:val="22"/>
          <w:szCs w:val="22"/>
        </w:rPr>
        <w:t xml:space="preserve">"Menurut saya yang paling penting itu kedisiplinan kegiatan, ustaz yang mengajar dan lingkungan pesantren. Kalau kegiatan sudah teratur, santri lebih mudah mengikuti pembelajaran."</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Dukungan pedagogis ustaz ditegaskan melalui pendekatan bertahap dan motivasi berbasis manfaat jangka panjang:</w:t>
      </w:r>
    </w:p>
    <w:p>
      <w:pPr>
        <w:spacing w:after="60" w:before="120" w:line="340"/>
        <w:ind w:left="720" w:right="720"/>
        <w:jc w:val="both"/>
      </w:pPr>
      <w:r>
        <w:rPr>
          <w:rFonts w:ascii="Times New Roman" w:cs="Times New Roman" w:eastAsia="Times New Roman" w:hAnsi="Times New Roman"/>
          <w:i/>
          <w:iCs/>
          <w:sz w:val="22"/>
          <w:szCs w:val="22"/>
        </w:rPr>
        <w:t xml:space="preserve">"Biasanya kita memberikan dorongan dan menjelaskan manfaat belajar kitab. Santri juga diberikan contoh bahwa kemampuan membaca kitab akan berguna ketika mereka sudah terjun ke masyarakat."</w:t>
      </w:r>
    </w:p>
    <w:p>
      <w:pPr>
        <w:spacing w:after="220"/>
        <w:ind w:left="720" w:right="720"/>
        <w:jc w:val="right"/>
      </w:pPr>
      <w:r>
        <w:rPr>
          <w:rFonts w:ascii="Times New Roman" w:cs="Times New Roman" w:eastAsia="Times New Roman" w:hAnsi="Times New Roman"/>
          <w:sz w:val="20"/>
          <w:szCs w:val="20"/>
        </w:rPr>
        <w:t xml:space="preserve">(US-S1-02, TR-US-S1-02)</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w:t>
      </w:r>
    </w:p>
    <w:p>
      <w:pPr>
        <w:keepNext w:val="false"/>
        <w:spacing w:after="200" w:line="360"/>
        <w:jc w:val="both"/>
      </w:pPr>
      <w:r>
        <w:rPr>
          <w:rFonts w:ascii="Times New Roman" w:cs="Times New Roman" w:eastAsia="Times New Roman" w:hAnsi="Times New Roman"/>
          <w:sz w:val="24"/>
          <w:szCs w:val="24"/>
        </w:rPr>
        <w:t xml:space="preserve">Heterogenitas kemampuan awal diakui secara terbuka oleh PA-S1-01:</w:t>
      </w:r>
    </w:p>
    <w:p>
      <w:pPr>
        <w:spacing w:after="60" w:before="120" w:line="340"/>
        <w:ind w:left="720" w:right="720"/>
        <w:jc w:val="both"/>
      </w:pPr>
      <w:r>
        <w:rPr>
          <w:rFonts w:ascii="Times New Roman" w:cs="Times New Roman" w:eastAsia="Times New Roman" w:hAnsi="Times New Roman"/>
          <w:i/>
          <w:iCs/>
          <w:sz w:val="22"/>
          <w:szCs w:val="22"/>
        </w:rPr>
        <w:t xml:space="preserve">"Tantangannya adalah menjaga semangat santri karena setiap santri berbeda. Ada yang cepat memahami dan ada yang membutuhkan waktu lebih lama. Selain itu, pengaruh lingkungan luar juga perlu diperhatikan."</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Terkait teknologi sebagai potensi distraksi kontekstual, PA-S1-01 menyampaikan pandangan yang tidak menggeneralisasi seluruh santri:</w:t>
      </w:r>
    </w:p>
    <w:p>
      <w:pPr>
        <w:spacing w:after="60" w:before="120" w:line="340"/>
        <w:ind w:left="720" w:right="720"/>
        <w:jc w:val="both"/>
      </w:pPr>
      <w:r>
        <w:rPr>
          <w:rFonts w:ascii="Times New Roman" w:cs="Times New Roman" w:eastAsia="Times New Roman" w:hAnsi="Times New Roman"/>
          <w:i/>
          <w:iCs/>
          <w:sz w:val="22"/>
          <w:szCs w:val="22"/>
        </w:rPr>
        <w:t xml:space="preserve">"Teknologi memang bisa membantu, tetapi kalau tidak dikontrol bisa mengganggu waktu belajar santri. Karena itu penggunaannya perlu diatur supaya tidak mengurangi perhatian santri terhadap kegiatan pesantren dan pengajian kitab."</w:t>
      </w:r>
    </w:p>
    <w:p>
      <w:pPr>
        <w:spacing w:after="220"/>
        <w:ind w:left="720" w:right="720"/>
        <w:jc w:val="right"/>
      </w:pPr>
      <w:r>
        <w:rPr>
          <w:rFonts w:ascii="Times New Roman" w:cs="Times New Roman" w:eastAsia="Times New Roman" w:hAnsi="Times New Roman"/>
          <w:sz w:val="20"/>
          <w:szCs w:val="20"/>
        </w:rPr>
        <w:t xml:space="preserve">(PA-S1-01, TR-PA-S1-01)</w:t>
      </w:r>
    </w:p>
    <w:p>
      <w:pPr>
        <w:keepNext w:val="false"/>
        <w:spacing w:after="200" w:line="360"/>
        <w:jc w:val="both"/>
      </w:pPr>
      <w:r>
        <w:rPr>
          <w:rFonts w:ascii="Times New Roman" w:cs="Times New Roman" w:eastAsia="Times New Roman" w:hAnsi="Times New Roman"/>
          <w:sz w:val="24"/>
          <w:szCs w:val="24"/>
        </w:rPr>
        <w:t xml:space="preserve">Kepadatan kegiatan sebagai sumber kelelahan disampaikan PG-S1-03:</w:t>
      </w:r>
    </w:p>
    <w:p>
      <w:pPr>
        <w:spacing w:after="60" w:before="120" w:line="340"/>
        <w:ind w:left="720" w:right="720"/>
        <w:jc w:val="both"/>
      </w:pPr>
      <w:r>
        <w:rPr>
          <w:rFonts w:ascii="Times New Roman" w:cs="Times New Roman" w:eastAsia="Times New Roman" w:hAnsi="Times New Roman"/>
          <w:i/>
          <w:iCs/>
          <w:sz w:val="22"/>
          <w:szCs w:val="22"/>
        </w:rPr>
        <w:t xml:space="preserve">"Hambatannya biasanya berkaitan dengan kesibukan santri dan kegiatan pesantren yang cukup banyak. Kadang santri merasa lelah sehingga kurang fokus mengikuti pengajian."</w:t>
      </w:r>
    </w:p>
    <w:p>
      <w:pPr>
        <w:spacing w:after="220"/>
        <w:ind w:left="720" w:right="720"/>
        <w:jc w:val="right"/>
      </w:pPr>
      <w:r>
        <w:rPr>
          <w:rFonts w:ascii="Times New Roman" w:cs="Times New Roman" w:eastAsia="Times New Roman" w:hAnsi="Times New Roman"/>
          <w:sz w:val="20"/>
          <w:szCs w:val="20"/>
        </w:rPr>
        <w:t xml:space="preserve">(PG-S1-03, TR-PG-S1-03)</w:t>
      </w:r>
    </w:p>
    <w:p>
      <w:pPr>
        <w:keepNext w:val="false"/>
        <w:spacing w:after="200" w:line="360"/>
        <w:jc w:val="both"/>
      </w:pPr>
      <w:r>
        <w:rPr>
          <w:rFonts w:ascii="Times New Roman" w:cs="Times New Roman" w:eastAsia="Times New Roman" w:hAnsi="Times New Roman"/>
          <w:sz w:val="24"/>
          <w:szCs w:val="24"/>
        </w:rPr>
        <w:t xml:space="preserve">Perubahan karakter santri lintas generasi turut dicatat sebagai konteks penghambat kontekstual, bukan hambatan tetap:</w:t>
      </w:r>
    </w:p>
    <w:p>
      <w:pPr>
        <w:spacing w:after="60" w:before="120" w:line="340"/>
        <w:ind w:left="720" w:right="720"/>
        <w:jc w:val="both"/>
      </w:pPr>
      <w:r>
        <w:rPr>
          <w:rFonts w:ascii="Times New Roman" w:cs="Times New Roman" w:eastAsia="Times New Roman" w:hAnsi="Times New Roman"/>
          <w:i/>
          <w:iCs/>
          <w:sz w:val="22"/>
          <w:szCs w:val="22"/>
        </w:rPr>
        <w:t xml:space="preserve">"Ada perubahan karena zaman juga berubah. Santri sekarang mempunyai lebih banyak hal yang menarik perhatian mereka. Karena itu pesantren harus tetap mempertahankan tradisi kitab sekaligus mencari cara agar pembelajaran tetap menarik bagi santri."</w:t>
      </w:r>
    </w:p>
    <w:p>
      <w:pPr>
        <w:spacing w:after="220"/>
        <w:ind w:left="720" w:right="720"/>
        <w:jc w:val="right"/>
      </w:pPr>
      <w:r>
        <w:rPr>
          <w:rFonts w:ascii="Times New Roman" w:cs="Times New Roman" w:eastAsia="Times New Roman" w:hAnsi="Times New Roman"/>
          <w:sz w:val="20"/>
          <w:szCs w:val="20"/>
        </w:rPr>
        <w:t xml:space="preserve">(PA-S1-01, TR-PA-S1-01)</w:t>
      </w:r>
    </w:p>
    <w:p>
      <w:pPr>
        <w:pStyle w:val="Heading2"/>
        <w:spacing w:after="200" w:before="360"/>
      </w:pPr>
      <w:r>
        <w:rPr>
          <w:rFonts w:ascii="Times New Roman" w:cs="Times New Roman" w:eastAsia="Times New Roman" w:hAnsi="Times New Roman"/>
          <w:b/>
          <w:bCs/>
          <w:sz w:val="28"/>
          <w:szCs w:val="28"/>
        </w:rPr>
        <w:t xml:space="preserve">5. Implikasi terhadap Minat Belajar dan Maharah Qira'ah pada Situs 1</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lintas informan menunjukkan bahwa kombinasi Target Bacaan Mingguan, Forum Mudzakarah Ilmiyyah, Belajar Malam Wajib, dan pendampingan ustaz berkaitan dengan pola keterlibatan yang bergerak dari kepatuhan menuju inisiatif. Hal ini tergambar dalam pengakuan SS-S1-04 tentang perjalanan pribadinya menghadapi kitab tanpa harakat:</w:t>
      </w:r>
    </w:p>
    <w:p>
      <w:pPr>
        <w:spacing w:after="60" w:before="120" w:line="340"/>
        <w:ind w:left="720" w:right="720"/>
        <w:jc w:val="both"/>
      </w:pPr>
      <w:r>
        <w:rPr>
          <w:rFonts w:ascii="Times New Roman" w:cs="Times New Roman" w:eastAsia="Times New Roman" w:hAnsi="Times New Roman"/>
          <w:i/>
          <w:iCs/>
          <w:sz w:val="22"/>
          <w:szCs w:val="22"/>
        </w:rPr>
        <w:t xml:space="preserve">"Alhamdulillah ada perkembangan. Dulu membaca masih sering berhenti dan harus bertanya. Sekarang sudah lebih lancar, walaupun kalau kitabnya sulit masih perlu bantuan ustaz atau teman. Saya juga merasa lebih percaya diri ketika membaca kitab di depan teman-teman."</w:t>
      </w:r>
    </w:p>
    <w:p>
      <w:pPr>
        <w:spacing w:after="220"/>
        <w:ind w:left="720" w:right="720"/>
        <w:jc w:val="right"/>
      </w:pPr>
      <w:r>
        <w:rPr>
          <w:rFonts w:ascii="Times New Roman" w:cs="Times New Roman" w:eastAsia="Times New Roman" w:hAnsi="Times New Roman"/>
          <w:sz w:val="20"/>
          <w:szCs w:val="20"/>
        </w:rPr>
        <w:t xml:space="preserve">(SS-S1-04, TR-SS-S1-04)</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Perkembangan Maharah Qira'ah</w:t>
      </w:r>
    </w:p>
    <w:p>
      <w:pPr>
        <w:keepNext w:val="false"/>
        <w:spacing w:after="200" w:line="360"/>
        <w:jc w:val="both"/>
      </w:pPr>
      <w:r>
        <w:rPr>
          <w:rFonts w:ascii="Times New Roman" w:cs="Times New Roman" w:eastAsia="Times New Roman" w:hAnsi="Times New Roman"/>
          <w:b/>
          <w:bCs/>
          <w:sz w:val="24"/>
          <w:szCs w:val="24"/>
        </w:rPr>
        <w:t xml:space="preserve">Kemampuan membaca teks tanpa harakat.</w:t>
      </w:r>
      <w:r>
        <w:rPr>
          <w:rFonts w:ascii="Times New Roman" w:cs="Times New Roman" w:eastAsia="Times New Roman" w:hAnsi="Times New Roman"/>
          <w:sz w:val="24"/>
          <w:szCs w:val="24"/>
        </w:rPr>
        <w:t xml:space="preserve"> Lembar Observasi F.1 mencatat bahwa “kemampuan santri bervariasi. Santri tingkat Tsanawiyah dan Aliyah relatif lebih lancar dibandingkan santri tingkat Ibtidaiyah,” dengan santri senior “lebih terbiasa membaca teks Arab tanpa harakat karena intensitas berinteraksi dengan kitab lebih tinggi.”</w:t>
      </w:r>
    </w:p>
    <w:p>
      <w:pPr>
        <w:keepNext w:val="false"/>
        <w:spacing w:after="200" w:line="360"/>
        <w:jc w:val="both"/>
      </w:pPr>
      <w:r>
        <w:rPr>
          <w:rFonts w:ascii="Times New Roman" w:cs="Times New Roman" w:eastAsia="Times New Roman" w:hAnsi="Times New Roman"/>
          <w:b/>
          <w:bCs/>
          <w:sz w:val="24"/>
          <w:szCs w:val="24"/>
        </w:rPr>
        <w:t xml:space="preserve">Nahwu-sharaf dan ketepatan struktur.</w:t>
      </w:r>
      <w:r>
        <w:rPr>
          <w:rFonts w:ascii="Times New Roman" w:cs="Times New Roman" w:eastAsia="Times New Roman" w:hAnsi="Times New Roman"/>
          <w:sz w:val="24"/>
          <w:szCs w:val="24"/>
        </w:rPr>
        <w:t xml:space="preserve"> Pola kesalahan yang teramati “terutama berkaitan dengan penentuan harakat akhir, pengenalan bentuk kata, dan struktur nahwu-sharaf,” dengan kesalahan “lebih banyak terlihat pada santri yang masih berada pada tahap awal pembelajaran kitab” (Lembar Observasi F.1).</w:t>
      </w:r>
    </w:p>
    <w:p>
      <w:pPr>
        <w:keepNext w:val="false"/>
        <w:spacing w:after="200" w:line="360"/>
        <w:jc w:val="both"/>
      </w:pPr>
      <w:r>
        <w:rPr>
          <w:rFonts w:ascii="Times New Roman" w:cs="Times New Roman" w:eastAsia="Times New Roman" w:hAnsi="Times New Roman"/>
          <w:b/>
          <w:bCs/>
          <w:sz w:val="24"/>
          <w:szCs w:val="24"/>
        </w:rPr>
        <w:t xml:space="preserve">Memahami dan memaknai teks.</w:t>
      </w:r>
      <w:r>
        <w:rPr>
          <w:rFonts w:ascii="Times New Roman" w:cs="Times New Roman" w:eastAsia="Times New Roman" w:hAnsi="Times New Roman"/>
          <w:sz w:val="24"/>
          <w:szCs w:val="24"/>
        </w:rPr>
        <w:t xml:space="preserve"> SJ-S1-05 menggambarkan pengalaman transisi dari sekadar membaca menuju memahami:</w:t>
      </w:r>
    </w:p>
    <w:p>
      <w:pPr>
        <w:spacing w:after="60" w:before="120" w:line="340"/>
        <w:ind w:left="720" w:right="720"/>
        <w:jc w:val="both"/>
      </w:pPr>
      <w:r>
        <w:rPr>
          <w:rFonts w:ascii="Times New Roman" w:cs="Times New Roman" w:eastAsia="Times New Roman" w:hAnsi="Times New Roman"/>
          <w:i/>
          <w:iCs/>
          <w:sz w:val="22"/>
          <w:szCs w:val="22"/>
        </w:rPr>
        <w:t xml:space="preserve">"Awalnya cukup sulit, terutama membaca tulisan yang tidak ada harakatnya. Saya masih bingung menentukan harakat dan arti kalimatnya."</w:t>
      </w:r>
    </w:p>
    <w:p>
      <w:pPr>
        <w:spacing w:after="220"/>
        <w:ind w:left="720" w:right="720"/>
        <w:jc w:val="right"/>
      </w:pPr>
      <w:r>
        <w:rPr>
          <w:rFonts w:ascii="Times New Roman" w:cs="Times New Roman" w:eastAsia="Times New Roman" w:hAnsi="Times New Roman"/>
          <w:sz w:val="20"/>
          <w:szCs w:val="20"/>
        </w:rPr>
        <w:t xml:space="preserve">(SJ-S1-05, TR-SJ-S1-05)</w:t>
      </w:r>
    </w:p>
    <w:p>
      <w:pPr>
        <w:keepNext w:val="false"/>
        <w:spacing w:after="200" w:line="360"/>
        <w:jc w:val="both"/>
      </w:pPr>
      <w:r>
        <w:rPr>
          <w:rFonts w:ascii="Times New Roman" w:cs="Times New Roman" w:eastAsia="Times New Roman" w:hAnsi="Times New Roman"/>
          <w:b/>
          <w:bCs/>
          <w:sz w:val="24"/>
          <w:szCs w:val="24"/>
        </w:rPr>
        <w:t xml:space="preserve">Perkembangan kemampuan membaca kitab.</w:t>
      </w:r>
      <w:r>
        <w:rPr>
          <w:rFonts w:ascii="Times New Roman" w:cs="Times New Roman" w:eastAsia="Times New Roman" w:hAnsi="Times New Roman"/>
          <w:sz w:val="24"/>
          <w:szCs w:val="24"/>
        </w:rPr>
        <w:t xml:space="preserve"> US-S1-02 merangkum pandangan pedagogisnya tentang proses perkembangan qira'ah:</w:t>
      </w:r>
    </w:p>
    <w:p>
      <w:pPr>
        <w:spacing w:after="60" w:before="120" w:line="340"/>
        <w:ind w:left="720" w:right="720"/>
        <w:jc w:val="both"/>
      </w:pPr>
      <w:r>
        <w:rPr>
          <w:rFonts w:ascii="Times New Roman" w:cs="Times New Roman" w:eastAsia="Times New Roman" w:hAnsi="Times New Roman"/>
          <w:i/>
          <w:iCs/>
          <w:sz w:val="22"/>
          <w:szCs w:val="22"/>
        </w:rPr>
        <w:t xml:space="preserve">"Secara umum ada perkembangan. Santri yang rutin mengikuti pengajian dan sering membaca biasanya lebih cepat berkembang. Kemampuan membaca tidak bisa langsung bagus, perlu latihan terus-menerus."</w:t>
      </w:r>
    </w:p>
    <w:p>
      <w:pPr>
        <w:spacing w:after="220"/>
        <w:ind w:left="720" w:right="720"/>
        <w:jc w:val="right"/>
      </w:pPr>
      <w:r>
        <w:rPr>
          <w:rFonts w:ascii="Times New Roman" w:cs="Times New Roman" w:eastAsia="Times New Roman" w:hAnsi="Times New Roman"/>
          <w:sz w:val="20"/>
          <w:szCs w:val="20"/>
        </w:rPr>
        <w:t xml:space="preserve">(US-S1-02, TR-US-S1-02)</w:t>
      </w:r>
    </w:p>
    <w:sectPr>
      <w:headerReference w:type="default" r:id="rId7"/>
      <w:footerReference w:type="default" r:id="rId8"/>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BAB IV — Draf Perluasan (Situs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2026-09-07T10:25:22.686Z</dcterms:created>
  <dcterms:modified xsi:type="dcterms:W3CDTF">2026-09-07T10:25:22.696Z</dcterms:modified>
</cp:coreProperties>
</file>

<file path=docProps/custom.xml><?xml version="1.0" encoding="utf-8"?>
<Properties xmlns="http://schemas.openxmlformats.org/officeDocument/2006/custom-properties" xmlns:vt="http://schemas.openxmlformats.org/officeDocument/2006/docPropsVTypes"/>
</file>