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BAB IV (DRAF PERLUASAN — BAGIAN B)</w:t>
      </w:r>
    </w:p>
    <w:p>
      <w:pPr>
        <w:spacing w:after="200"/>
        <w:jc w:val="center"/>
      </w:pPr>
      <w:r>
        <w:rPr>
          <w:rFonts w:ascii="Times New Roman" w:cs="Times New Roman" w:eastAsia="Times New Roman" w:hAnsi="Times New Roman"/>
          <w:b/>
          <w:bCs/>
          <w:sz w:val="28"/>
          <w:szCs w:val="28"/>
        </w:rPr>
        <w:t xml:space="preserve">PAPARAN DATA SITUS 2: PONDOK PESANTREN ASY-SYAFA'AH</w:t>
      </w:r>
    </w:p>
    <w:p>
      <w:pPr>
        <w:spacing w:after="600"/>
        <w:jc w:val="center"/>
      </w:pPr>
      <w:r>
        <w:rPr>
          <w:rFonts w:ascii="Times New Roman" w:cs="Times New Roman" w:eastAsia="Times New Roman" w:hAnsi="Times New Roman"/>
          <w:i/>
          <w:iCs/>
          <w:sz w:val="22"/>
          <w:szCs w:val="22"/>
        </w:rPr>
        <w:t xml:space="preserve">(Draf untuk ditinjau sebelum penyusunan C–D–E–F dan penggabungan akhir)</w:t>
      </w:r>
    </w:p>
    <w:p>
      <w:pPr>
        <w:pStyle w:val="Heading1"/>
        <w:spacing w:after="240" w:before="480"/>
      </w:pPr>
      <w:r>
        <w:rPr>
          <w:rFonts w:ascii="Times New Roman" w:cs="Times New Roman" w:eastAsia="Times New Roman" w:hAnsi="Times New Roman"/>
          <w:b/>
          <w:bCs/>
          <w:sz w:val="32"/>
          <w:szCs w:val="32"/>
        </w:rPr>
        <w:t xml:space="preserve">B. Paparan Data Situs 2: Pondok Pesantren Asy-Syafa'ah Karawang (Versi Diperluas)</w:t>
      </w:r>
    </w:p>
    <w:p>
      <w:pPr>
        <w:pStyle w:val="Heading2"/>
        <w:spacing w:after="200" w:before="360"/>
      </w:pPr>
      <w:r>
        <w:rPr>
          <w:rFonts w:ascii="Times New Roman" w:cs="Times New Roman" w:eastAsia="Times New Roman" w:hAnsi="Times New Roman"/>
          <w:b/>
          <w:bCs/>
          <w:sz w:val="28"/>
          <w:szCs w:val="28"/>
        </w:rPr>
        <w:t xml:space="preserve">1. Gambaran Umum Pondok Pesantren Asy-Syafa'ah</w:t>
      </w:r>
    </w:p>
    <w:p>
      <w:pPr>
        <w:keepNext w:val="false"/>
        <w:spacing w:after="200" w:line="360"/>
        <w:jc w:val="both"/>
      </w:pPr>
      <w:r>
        <w:rPr>
          <w:rFonts w:ascii="Times New Roman" w:cs="Times New Roman" w:eastAsia="Times New Roman" w:hAnsi="Times New Roman"/>
          <w:sz w:val="24"/>
          <w:szCs w:val="24"/>
        </w:rPr>
        <w:t xml:space="preserve">Pondok Pesantren Asy-Syafa'ah berlokasi di Jalan Batujaya RT/RW 005/002, Desa Kaum, Kecamatan Batujaya, Kabupaten Karawang, Jawa Barat. Pesantren ini berdiri pada tahun 1982 di bawah asuhan KH Tajuddin Zuhri, yang tercatat telah menjabat sebagai pengasuh selama 44 tahun (PA-S2-01), dengan Awaluddin sebagai wakil/lurah pesantren. Berdasarkan data profil kelembagaan (D-S2-01), jumlah santri tercatat sebanyak 237 orang, terdiri atas 145 santri mukim putra, 52 santri mukim putri, dan 40 santri kalong (non-mukim), dengan rentang usia 13–20 tahun dan mayoritas berasal dari wilayah Jawa Barat. Pesantren memiliki status akreditasi B, didukung oleh 2 ustaz/ustazah tetap dan 5 ustaz/ustazah tidak tetap.</w:t>
      </w:r>
    </w:p>
    <w:p>
      <w:pPr>
        <w:keepNext w:val="false"/>
        <w:spacing w:after="200" w:line="360"/>
        <w:jc w:val="both"/>
      </w:pPr>
      <w:r>
        <w:rPr>
          <w:rFonts w:ascii="Times New Roman" w:cs="Times New Roman" w:eastAsia="Times New Roman" w:hAnsi="Times New Roman"/>
          <w:sz w:val="24"/>
          <w:szCs w:val="24"/>
        </w:rPr>
        <w:t xml:space="preserve">Asy-Syafa'ah bertipologi salaf dengan sistem kombinasi antara pendidikan pesantren dan pendidikan formal — terintegrasi dengan SMP Islam Terpadu Batujaya — dalam jenjang Ibtidaiyah, Tsanawiyah, dan Aliyah dengan masa studi enam tahun. Visi kelembagaan (D-S2-03) merumuskan cita-cita “mewujudkan pesantren As-Syafa'ah unggul dan terdepan dalam menghasilkan generasi cendekiawan yang alim, taqwa, kreatif, dan produktif,” dengan misi “membangun generasi yang alim, bertaqwa, berakhlaqul karimah, dan visioner.” Narasi perkembangan kelembagaan (D-S2-02) mencatat bahwa perhatian terhadap pembelajaran kitab turats diwujudkan melalui “sorogan kepada ustadz, pengajian bandongan sesuai dengan kelas dan kitab yang ditentukan, program zona literasi, program bimbingan membaca bertahap, dan lomba literasi turats antar santri.”</w:t>
      </w:r>
    </w:p>
    <w:p>
      <w:pPr>
        <w:keepNext w:val="false"/>
        <w:spacing w:after="200" w:line="360"/>
        <w:jc w:val="both"/>
      </w:pPr>
      <w:r>
        <w:rPr>
          <w:rFonts w:ascii="Times New Roman" w:cs="Times New Roman" w:eastAsia="Times New Roman" w:hAnsi="Times New Roman"/>
          <w:sz w:val="24"/>
          <w:szCs w:val="24"/>
        </w:rPr>
        <w:t xml:space="preserve">Dua puluh kitab turats tercatat sebagai materi pembelajaran (D-S2-16), tersusun bertahap dari jenjang Ibtidaiyah hingga Aliyah: Matan Al-Jurumiyah dan Al-Imrithi (nahwu dasar–lanjutan), Matan Bina wal Asas dan Al-Kailani (sharaf dasar–lanjutan), Akhlaqul lil Banin dan Ta'limul Muta'allim (akhlak), Safinatun Najah, Syarah Safinatun Najah, Sulamun Najat, Fathul Qarib, Tsamratul Yani'ah, dan Fathul Mu'in (fikih berjenjang), Tijan ad-Darori, Fathul Majid, Sanusi, dan Jauhar Tauhid (tauhid), Al-Waraqat (ushul fikih), Sulamul Munawraq (mantiq), serta Alfiyah Ibnu Malik (nahwu-sharaf lanjutan tingkat Aliyah). Fathul Qarib dan Fathul Mu'in secara khusus tercatat menjadi kitab yang digunakan dalam kegiatan Lomba Literasi Turats untuk tingkat Tsanawiyah dan Aliyah (D-S2-17). Pesantren juga tercatat memiliki riwayat prestasi baca kitab pada beberapa kompetisi antarpesantren, di antaranya juara baca kitab tingkat Tsanawiyah sekabupaten pada tahun 2018 dan juara hafalan kitab Alfiyah di Tasikmalaya.</w:t>
      </w:r>
    </w:p>
    <w:p>
      <w:pPr>
        <w:pStyle w:val="Heading2"/>
        <w:spacing w:after="200" w:before="360"/>
      </w:pPr>
      <w:r>
        <w:rPr>
          <w:rFonts w:ascii="Times New Roman" w:cs="Times New Roman" w:eastAsia="Times New Roman" w:hAnsi="Times New Roman"/>
          <w:b/>
          <w:bCs/>
          <w:sz w:val="28"/>
          <w:szCs w:val="28"/>
        </w:rPr>
        <w:t xml:space="preserve">2. Strategi Lingkungan Pembelajaran dalam Meningkatkan Minat Belajar Kitab Turats</w:t>
      </w:r>
    </w:p>
    <w:p>
      <w:pPr>
        <w:pStyle w:val="Heading3"/>
        <w:spacing w:after="160" w:before="280"/>
      </w:pPr>
      <w:r>
        <w:rPr>
          <w:rFonts w:ascii="Times New Roman" w:cs="Times New Roman" w:eastAsia="Times New Roman" w:hAnsi="Times New Roman"/>
          <w:b/>
          <w:bCs/>
          <w:i w:val="false"/>
          <w:iCs w:val="false"/>
          <w:sz w:val="26"/>
          <w:szCs w:val="26"/>
        </w:rPr>
        <w:t xml:space="preserve">a. Lingkungan Fisik</w:t>
      </w:r>
    </w:p>
    <w:p>
      <w:pPr>
        <w:keepNext w:val="false"/>
        <w:spacing w:after="200" w:line="360"/>
        <w:jc w:val="both"/>
      </w:pPr>
      <w:r>
        <w:rPr>
          <w:rFonts w:ascii="Times New Roman" w:cs="Times New Roman" w:eastAsia="Times New Roman" w:hAnsi="Times New Roman"/>
          <w:sz w:val="24"/>
          <w:szCs w:val="24"/>
        </w:rPr>
        <w:t xml:space="preserve">Data sarana kelembagaan (D-S2-10) mencatat sembilan ruang belajar/aula pengajian dalam kondisi baik, digunakan untuk kegiatan pembelajaran kitab turats sesuai jenjang pendidikan santri. Sebagaimana pada Situs 1, data sarana juga mencatat ketiadaan perpustakaan kitab secara formal (tercatat “0” pada item Perpustakaan Kitab dan Jumlah/Kondisi Kitab Tersedia) — keterbatasan ini konsisten dengan temuan Situs 1 dan tidak disembunyikan dalam paparan ini. Sebagai penyeimbang, akses santri terhadap kitab diperluas melalui pembiasaan membawa kitab pribadi ke berbagai ruang pesantren, sejalan dengan orientasi Zona Literasi Turats yang akan dijelaskan pada subbagian berikutnya.</w:t>
      </w:r>
    </w:p>
    <w:p>
      <w:pPr>
        <w:keepNext w:val="false"/>
        <w:spacing w:after="200" w:line="360"/>
        <w:jc w:val="both"/>
      </w:pPr>
      <w:r>
        <w:rPr>
          <w:rFonts w:ascii="Times New Roman" w:cs="Times New Roman" w:eastAsia="Times New Roman" w:hAnsi="Times New Roman"/>
          <w:sz w:val="24"/>
          <w:szCs w:val="24"/>
        </w:rPr>
        <w:t xml:space="preserve">Mushala berada dalam kondisi baik dan berfungsi ganda sebagai ruang ibadah sekaligus ruang pengajian bandongan kitab tafsir dan kitab lain pada jadwal tertentu (D-S2-10). Asrama berjumlah lima unit dengan kondisi baik, menjadi ruang kehidupan sehari-hari santri sekaligus menopang kegiatan membaca pada Zona Literasi Turats di luar jam pengajian formal.</w:t>
      </w:r>
    </w:p>
    <w:p>
      <w:pPr>
        <w:pStyle w:val="Heading3"/>
        <w:spacing w:after="160" w:before="280"/>
      </w:pPr>
      <w:r>
        <w:rPr>
          <w:rFonts w:ascii="Times New Roman" w:cs="Times New Roman" w:eastAsia="Times New Roman" w:hAnsi="Times New Roman"/>
          <w:b/>
          <w:bCs/>
          <w:i w:val="false"/>
          <w:iCs w:val="false"/>
          <w:sz w:val="26"/>
          <w:szCs w:val="26"/>
        </w:rPr>
        <w:t xml:space="preserve">b. Lingkungan Akademik</w:t>
      </w:r>
    </w:p>
    <w:p>
      <w:pPr>
        <w:keepNext w:val="false"/>
        <w:spacing w:after="200" w:line="360"/>
        <w:jc w:val="both"/>
      </w:pPr>
      <w:r>
        <w:rPr>
          <w:rFonts w:ascii="Times New Roman" w:cs="Times New Roman" w:eastAsia="Times New Roman" w:hAnsi="Times New Roman"/>
          <w:sz w:val="24"/>
          <w:szCs w:val="24"/>
        </w:rPr>
        <w:t xml:space="preserve">Sistem pembelajaran kitab di Asy-Syafa'ah dijalankan melalui kombinasi sorogan, bandongan, dan tiga program yang menjadi kekhasan Situs 2: Zona Literasi Turats, pembinaan membaca bertahap berdasarkan kemampuan santri, dan Lomba Literasi Turats. PA-S2-01 merumuskan filosofi dasar pembelajaran kitab di pesantren ini:</w:t>
      </w:r>
    </w:p>
    <w:p>
      <w:pPr>
        <w:spacing w:after="60" w:before="120" w:line="340"/>
        <w:ind w:left="720" w:right="720"/>
        <w:jc w:val="both"/>
      </w:pPr>
      <w:r>
        <w:rPr>
          <w:rFonts w:ascii="Times New Roman" w:cs="Times New Roman" w:eastAsia="Times New Roman" w:hAnsi="Times New Roman"/>
          <w:i/>
          <w:iCs/>
          <w:sz w:val="22"/>
          <w:szCs w:val="22"/>
        </w:rPr>
        <w:t xml:space="preserve">"Pesantren ini dari awal memang diarahkan untuk membekali santri dengan ilmu agama, terutama kemampuan memahami kitab-kitab yang menjadi sumber keilmuan Islam. Jadi kitab turats menjadi bagian penting dalam pendidikan di pesantren."</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b/>
          <w:bCs/>
          <w:sz w:val="24"/>
          <w:szCs w:val="24"/>
        </w:rPr>
        <w:t xml:space="preserve">Sorogan dan bandongan.</w:t>
      </w:r>
      <w:r>
        <w:rPr>
          <w:rFonts w:ascii="Times New Roman" w:cs="Times New Roman" w:eastAsia="Times New Roman" w:hAnsi="Times New Roman"/>
          <w:sz w:val="24"/>
          <w:szCs w:val="24"/>
        </w:rPr>
        <w:t xml:space="preserve"> Ustaz pengampu kitab (US-S2-02) menjelaskan pendekatan pembelajaran yang dibedakan menurut jenjang santri:</w:t>
      </w:r>
    </w:p>
    <w:p>
      <w:pPr>
        <w:spacing w:after="60" w:before="120" w:line="340"/>
        <w:ind w:left="720" w:right="720"/>
        <w:jc w:val="both"/>
      </w:pPr>
      <w:r>
        <w:rPr>
          <w:rFonts w:ascii="Times New Roman" w:cs="Times New Roman" w:eastAsia="Times New Roman" w:hAnsi="Times New Roman"/>
          <w:i/>
          <w:iCs/>
          <w:sz w:val="22"/>
          <w:szCs w:val="22"/>
        </w:rPr>
        <w:t xml:space="preserve">"Iya, tentu berbeda. Santri junior biasanya lebih banyak membutuhkan penjelasan dasar, sedangkan santri senior sudah bisa diarahkan untuk membaca sendiri dan memahami isi kitab dengan lebih mandiri."</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Untuk santri yang mengalami kesulitan, US-S2-02 menerapkan pendekatan bertahap yang sejalan dengan praktik pada Situs 1:</w:t>
      </w:r>
    </w:p>
    <w:p>
      <w:pPr>
        <w:spacing w:after="60" w:before="120" w:line="340"/>
        <w:ind w:left="720" w:right="720"/>
        <w:jc w:val="both"/>
      </w:pPr>
      <w:r>
        <w:rPr>
          <w:rFonts w:ascii="Times New Roman" w:cs="Times New Roman" w:eastAsia="Times New Roman" w:hAnsi="Times New Roman"/>
          <w:i/>
          <w:iCs/>
          <w:sz w:val="22"/>
          <w:szCs w:val="22"/>
        </w:rPr>
        <w:t xml:space="preserve">"Kalau ada yang masih kesulitan, biasanya saya bimbing secara perlahan. Santri yang belum lancar tidak langsung dituntut sama dengan yang sudah lama belajar. Kita lihat kemampuan masing-masing dan diberikan bimbingan sesuai kebutuhannya."</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b/>
          <w:bCs/>
          <w:sz w:val="24"/>
          <w:szCs w:val="24"/>
        </w:rPr>
        <w:t xml:space="preserve">Zona Literasi Turats.</w:t>
      </w:r>
      <w:r>
        <w:rPr>
          <w:rFonts w:ascii="Times New Roman" w:cs="Times New Roman" w:eastAsia="Times New Roman" w:hAnsi="Times New Roman"/>
          <w:sz w:val="24"/>
          <w:szCs w:val="24"/>
        </w:rPr>
        <w:t xml:space="preserve"> Program ini dikembangkan sejak tahun 2018 untuk membiasakan santri membaca kitab turats di luar kegiatan pembelajaran formal (D-S2, bagian J). Jadwal kegiatan (D-S2-06) mencantumkan sesi Zona Literasi Turats pada pukul 07.00–12.00 dan 22.00–23.00 setiap hari, berdampingan dengan sesi sorogan pukul 01.00–03.00 dan berbagai sesi bandongan pada sore–malam hari. PA-S2-01 menegaskan strategi pembiasaan ini:</w:t>
      </w:r>
    </w:p>
    <w:p>
      <w:pPr>
        <w:spacing w:after="60" w:before="120" w:line="340"/>
        <w:ind w:left="720" w:right="720"/>
        <w:jc w:val="both"/>
      </w:pPr>
      <w:r>
        <w:rPr>
          <w:rFonts w:ascii="Times New Roman" w:cs="Times New Roman" w:eastAsia="Times New Roman" w:hAnsi="Times New Roman"/>
          <w:i/>
          <w:iCs/>
          <w:sz w:val="22"/>
          <w:szCs w:val="22"/>
        </w:rPr>
        <w:t xml:space="preserve">"Salah satunya dengan membiasakan santri membaca dan berinteraksi dengan kitab. Santri diarahkan untuk tidak hanya belajar ketika ada pengajian, tetapi juga membaca dan mempelajari kitab di waktu yang lain."</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Catatan lapangan (CL-02/S2, 18 Juni 2026) merekam suasana pengajian malam beserta ungkapan langsung ustaz kepada santri: </w:t>
      </w:r>
      <w:r>
        <w:rPr>
          <w:rFonts w:ascii="Times New Roman" w:cs="Times New Roman" w:eastAsia="Times New Roman" w:hAnsi="Times New Roman"/>
          <w:b/>
          <w:bCs/>
          <w:sz w:val="24"/>
          <w:szCs w:val="24"/>
        </w:rPr>
        <w:t xml:space="preserve">“Kalau ingin lancar membaca kitab, harus sering membaca dan jangan takut salah.”</w:t>
      </w:r>
      <w:r>
        <w:rPr>
          <w:rFonts w:ascii="Times New Roman" w:cs="Times New Roman" w:eastAsia="Times New Roman" w:hAnsi="Times New Roman"/>
          <w:sz w:val="24"/>
          <w:szCs w:val="24"/>
        </w:rPr>
        <w:t xml:space="preserve"> (CL-02/S2). Catatan lapangan yang sama juga mendeskripsikan interaksi santri di luar sesi utama: “sebagian santri masih terlihat membuka kitab dan berdiskusi dengan teman” setelah pembelajaran utama selesai, menunjukkan bahwa “kegiatan belajar tidak hanya berlangsung ketika ustaz menyampaikan materi, tetapi juga berlanjut melalui interaksi antarsantri.”</w:t>
      </w:r>
    </w:p>
    <w:p>
      <w:pPr>
        <w:keepNext w:val="false"/>
        <w:spacing w:after="200" w:line="360"/>
        <w:jc w:val="both"/>
      </w:pPr>
      <w:r>
        <w:rPr>
          <w:rFonts w:ascii="Times New Roman" w:cs="Times New Roman" w:eastAsia="Times New Roman" w:hAnsi="Times New Roman"/>
          <w:b/>
          <w:bCs/>
          <w:sz w:val="24"/>
          <w:szCs w:val="24"/>
        </w:rPr>
        <w:t xml:space="preserve">Pembinaan membaca bertahap berdasarkan kemampuan santri.</w:t>
      </w:r>
      <w:r>
        <w:rPr>
          <w:rFonts w:ascii="Times New Roman" w:cs="Times New Roman" w:eastAsia="Times New Roman" w:hAnsi="Times New Roman"/>
          <w:sz w:val="24"/>
          <w:szCs w:val="24"/>
        </w:rPr>
        <w:t xml:space="preserve"> Dokumentasi program (D-S2-08) mencatat adanya pembagian santri berdasarkan kemampuan membaca, disertai bimbingan yang disesuaikan dengan tingkat masing-masing kelompok. Santri senior (SS-S2-04) menilai positif pendekatan ini:</w:t>
      </w:r>
    </w:p>
    <w:p>
      <w:pPr>
        <w:spacing w:after="60" w:before="120" w:line="340"/>
        <w:ind w:left="720" w:right="720"/>
        <w:jc w:val="both"/>
      </w:pPr>
      <w:r>
        <w:rPr>
          <w:rFonts w:ascii="Times New Roman" w:cs="Times New Roman" w:eastAsia="Times New Roman" w:hAnsi="Times New Roman"/>
          <w:i/>
          <w:iCs/>
          <w:sz w:val="22"/>
          <w:szCs w:val="22"/>
        </w:rPr>
        <w:t xml:space="preserve">"Menurut saya bagus, karena kemampuan santri berbeda-beda. Yang masih belum lancar tidak langsung diberikan bacaan yang sulit. Jadi bisa belajar sesuai kemampuan dan sedikit demi sedikit meningkat."</w:t>
      </w:r>
    </w:p>
    <w:p>
      <w:pPr>
        <w:spacing w:after="200"/>
        <w:ind w:left="720" w:right="720"/>
        <w:jc w:val="right"/>
      </w:pPr>
      <w:r>
        <w:rPr>
          <w:rFonts w:ascii="Times New Roman" w:cs="Times New Roman" w:eastAsia="Times New Roman" w:hAnsi="Times New Roman"/>
          <w:sz w:val="20"/>
          <w:szCs w:val="20"/>
        </w:rPr>
        <w:t xml:space="preserve">(SS-S2-04, TR-SS-S2-04)</w:t>
      </w:r>
    </w:p>
    <w:p>
      <w:pPr>
        <w:keepNext w:val="false"/>
        <w:spacing w:after="200" w:line="360"/>
        <w:jc w:val="both"/>
      </w:pPr>
      <w:r>
        <w:rPr>
          <w:rFonts w:ascii="Times New Roman" w:cs="Times New Roman" w:eastAsia="Times New Roman" w:hAnsi="Times New Roman"/>
          <w:b/>
          <w:bCs/>
          <w:sz w:val="24"/>
          <w:szCs w:val="24"/>
        </w:rPr>
        <w:t xml:space="preserve">Lomba Literasi Turats.</w:t>
      </w:r>
      <w:r>
        <w:rPr>
          <w:rFonts w:ascii="Times New Roman" w:cs="Times New Roman" w:eastAsia="Times New Roman" w:hAnsi="Times New Roman"/>
          <w:sz w:val="24"/>
          <w:szCs w:val="24"/>
        </w:rPr>
        <w:t xml:space="preserve"> Kegiatan ini dikembangkan sejak tahun 2021 sebagai sarana mendorong motivasi dan kemampuan santri dalam membaca serta memahami kitab turats (D-S2, bagian M), menggunakan Fathul Qarib untuk tingkat Tsanawiyah dan Fathul Mu'in untuk tingkat Aliyah sebagai materi kompetisi (D-S2-17). SS-S2-04 menggambarkan pengalamannya terhadap kegiatan ini:</w:t>
      </w:r>
    </w:p>
    <w:p>
      <w:pPr>
        <w:spacing w:after="60" w:before="120" w:line="340"/>
        <w:ind w:left="720" w:right="720"/>
        <w:jc w:val="both"/>
      </w:pPr>
      <w:r>
        <w:rPr>
          <w:rFonts w:ascii="Times New Roman" w:cs="Times New Roman" w:eastAsia="Times New Roman" w:hAnsi="Times New Roman"/>
          <w:i/>
          <w:iCs/>
          <w:sz w:val="22"/>
          <w:szCs w:val="22"/>
        </w:rPr>
        <w:t xml:space="preserve">"Menurut saya kegiatan seperti itu bagus karena membuat santri lebih semangat. Ada tantangan untuk menunjukkan kemampuan membaca dan memahami kitab. Jadi belajar kitab tidak terasa hanya sebagai kewajiban saja."</w:t>
      </w:r>
    </w:p>
    <w:p>
      <w:pPr>
        <w:spacing w:after="200"/>
        <w:ind w:left="720" w:right="720"/>
        <w:jc w:val="right"/>
      </w:pPr>
      <w:r>
        <w:rPr>
          <w:rFonts w:ascii="Times New Roman" w:cs="Times New Roman" w:eastAsia="Times New Roman" w:hAnsi="Times New Roman"/>
          <w:sz w:val="20"/>
          <w:szCs w:val="20"/>
        </w:rPr>
        <w:t xml:space="preserve">(SS-S2-04, TR-SS-S2-04)</w:t>
      </w:r>
    </w:p>
    <w:p>
      <w:pPr>
        <w:keepNext w:val="false"/>
        <w:spacing w:after="200" w:line="360"/>
        <w:jc w:val="both"/>
      </w:pPr>
      <w:r>
        <w:rPr>
          <w:rFonts w:ascii="Times New Roman" w:cs="Times New Roman" w:eastAsia="Times New Roman" w:hAnsi="Times New Roman"/>
          <w:sz w:val="24"/>
          <w:szCs w:val="24"/>
        </w:rPr>
        <w:t xml:space="preserve">Perlu dicatat secara jujur bahwa data tidak menunjukkan seluruh santri mengikuti Lomba Literasi Turats, sehingga kegiatan ini dipahami sebagai salah satu bentuk pengalaman keilmuan yang tersedia bagi sebagian santri, bukan cakupan pengalaman seluruh populasi santri Situs 2.</w:t>
      </w:r>
    </w:p>
    <w:p>
      <w:pPr>
        <w:pStyle w:val="Heading3"/>
        <w:spacing w:after="160" w:before="280"/>
      </w:pPr>
      <w:r>
        <w:rPr>
          <w:rFonts w:ascii="Times New Roman" w:cs="Times New Roman" w:eastAsia="Times New Roman" w:hAnsi="Times New Roman"/>
          <w:b/>
          <w:bCs/>
          <w:i w:val="false"/>
          <w:iCs w:val="false"/>
          <w:sz w:val="26"/>
          <w:szCs w:val="26"/>
        </w:rPr>
        <w:t xml:space="preserve">c. Lingkungan Sosial</w:t>
      </w:r>
    </w:p>
    <w:p>
      <w:pPr>
        <w:keepNext w:val="false"/>
        <w:spacing w:after="200" w:line="360"/>
        <w:jc w:val="both"/>
      </w:pPr>
      <w:r>
        <w:rPr>
          <w:rFonts w:ascii="Times New Roman" w:cs="Times New Roman" w:eastAsia="Times New Roman" w:hAnsi="Times New Roman"/>
          <w:sz w:val="24"/>
          <w:szCs w:val="24"/>
        </w:rPr>
        <w:t xml:space="preserve">Interaksi ustaz–santri pada Situs 2 berlangsung melalui pola bimbingan dan motivasi yang menekankan manfaat praktis kitab. US-S2-02 menjelaskan:</w:t>
      </w:r>
    </w:p>
    <w:p>
      <w:pPr>
        <w:spacing w:after="60" w:before="120" w:line="340"/>
        <w:ind w:left="720" w:right="720"/>
        <w:jc w:val="both"/>
      </w:pPr>
      <w:r>
        <w:rPr>
          <w:rFonts w:ascii="Times New Roman" w:cs="Times New Roman" w:eastAsia="Times New Roman" w:hAnsi="Times New Roman"/>
          <w:i/>
          <w:iCs/>
          <w:sz w:val="22"/>
          <w:szCs w:val="22"/>
        </w:rPr>
        <w:t xml:space="preserve">"Biasanya saya memberikan dorongan dan menjelaskan manfaat belajar kitab. Saya sampaikan bahwa kemampuan membaca kitab itu penting untuk memahami ilmu agama. Selain itu, santri juga perlu melihat teman-temannya yang sudah bisa membaca dengan baik supaya termotivasi."</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Dukungan teman sebaya ditegaskan berulang kali oleh berbagai informan lintas jenjang. Pengurus (PG-S2-03) menyampaikan pandangannya tentang peran lingkungan sosial:</w:t>
      </w:r>
    </w:p>
    <w:p>
      <w:pPr>
        <w:spacing w:after="60" w:before="120" w:line="340"/>
        <w:ind w:left="720" w:right="720"/>
        <w:jc w:val="both"/>
      </w:pPr>
      <w:r>
        <w:rPr>
          <w:rFonts w:ascii="Times New Roman" w:cs="Times New Roman" w:eastAsia="Times New Roman" w:hAnsi="Times New Roman"/>
          <w:i/>
          <w:iCs/>
          <w:sz w:val="22"/>
          <w:szCs w:val="22"/>
        </w:rPr>
        <w:t xml:space="preserve">"Lingkungan pesantren sangat membantu karena santri berada dalam suasana belajar dan banyak teman yang sama-sama belajar kitab."</w:t>
      </w:r>
    </w:p>
    <w:p>
      <w:pPr>
        <w:spacing w:after="200"/>
        <w:ind w:left="720" w:right="720"/>
        <w:jc w:val="right"/>
      </w:pPr>
      <w:r>
        <w:rPr>
          <w:rFonts w:ascii="Times New Roman" w:cs="Times New Roman" w:eastAsia="Times New Roman" w:hAnsi="Times New Roman"/>
          <w:sz w:val="20"/>
          <w:szCs w:val="20"/>
        </w:rPr>
        <w:t xml:space="preserve">(PG-S2-03, TR-PG-S2-03)</w:t>
      </w:r>
    </w:p>
    <w:p>
      <w:pPr>
        <w:keepNext w:val="false"/>
        <w:spacing w:after="200" w:line="360"/>
        <w:jc w:val="both"/>
      </w:pPr>
      <w:r>
        <w:rPr>
          <w:rFonts w:ascii="Times New Roman" w:cs="Times New Roman" w:eastAsia="Times New Roman" w:hAnsi="Times New Roman"/>
          <w:sz w:val="24"/>
          <w:szCs w:val="24"/>
        </w:rPr>
        <w:t xml:space="preserve">Santri junior (SJ-S2-05) menegaskan pengaruh langsung teman sebaya terhadap semangat belajarnya:</w:t>
      </w:r>
    </w:p>
    <w:p>
      <w:pPr>
        <w:spacing w:after="60" w:before="120" w:line="340"/>
        <w:ind w:left="720" w:right="720"/>
        <w:jc w:val="both"/>
      </w:pPr>
      <w:r>
        <w:rPr>
          <w:rFonts w:ascii="Times New Roman" w:cs="Times New Roman" w:eastAsia="Times New Roman" w:hAnsi="Times New Roman"/>
          <w:i/>
          <w:iCs/>
          <w:sz w:val="22"/>
          <w:szCs w:val="22"/>
        </w:rPr>
        <w:t xml:space="preserve">"Iya, biasanya ikut. Kalau teman belajar bersama kan jadi lebih semangat."</w:t>
      </w:r>
    </w:p>
    <w:p>
      <w:pPr>
        <w:spacing w:after="200"/>
        <w:ind w:left="720" w:right="720"/>
        <w:jc w:val="right"/>
      </w:pPr>
      <w:r>
        <w:rPr>
          <w:rFonts w:ascii="Times New Roman" w:cs="Times New Roman" w:eastAsia="Times New Roman" w:hAnsi="Times New Roman"/>
          <w:sz w:val="20"/>
          <w:szCs w:val="20"/>
        </w:rPr>
        <w:t xml:space="preserve">(SJ-S2-05, TR-SJ-S2-05)</w:t>
      </w:r>
    </w:p>
    <w:p>
      <w:pPr>
        <w:keepNext w:val="false"/>
        <w:spacing w:after="200" w:line="360"/>
        <w:jc w:val="both"/>
      </w:pPr>
      <w:r>
        <w:rPr>
          <w:rFonts w:ascii="Times New Roman" w:cs="Times New Roman" w:eastAsia="Times New Roman" w:hAnsi="Times New Roman"/>
          <w:sz w:val="24"/>
          <w:szCs w:val="24"/>
        </w:rPr>
        <w:t xml:space="preserve">Alumni (AL-S2-06) merefleksikan pola yang sama dari sudut pandang pengalaman jangka panjang:</w:t>
      </w:r>
    </w:p>
    <w:p>
      <w:pPr>
        <w:spacing w:after="60" w:before="120" w:line="340"/>
        <w:ind w:left="720" w:right="720"/>
        <w:jc w:val="both"/>
      </w:pPr>
      <w:r>
        <w:rPr>
          <w:rFonts w:ascii="Times New Roman" w:cs="Times New Roman" w:eastAsia="Times New Roman" w:hAnsi="Times New Roman"/>
          <w:i/>
          <w:iCs/>
          <w:sz w:val="22"/>
          <w:szCs w:val="22"/>
        </w:rPr>
        <w:t xml:space="preserve">"Karena sudah menjadi kebiasaan dan lingkungan juga mendukung. Kalau teman-teman dan ustaz sama-sama belajar, kita merasa terdorong untuk ikut."</w:t>
      </w:r>
    </w:p>
    <w:p>
      <w:pPr>
        <w:spacing w:after="200"/>
        <w:ind w:left="720" w:right="720"/>
        <w:jc w:val="right"/>
      </w:pPr>
      <w:r>
        <w:rPr>
          <w:rFonts w:ascii="Times New Roman" w:cs="Times New Roman" w:eastAsia="Times New Roman" w:hAnsi="Times New Roman"/>
          <w:sz w:val="20"/>
          <w:szCs w:val="20"/>
        </w:rPr>
        <w:t xml:space="preserve">(AL-S2-06, TR-AL-S2-06)</w:t>
      </w:r>
    </w:p>
    <w:p>
      <w:pPr>
        <w:pStyle w:val="Heading3"/>
        <w:spacing w:after="160" w:before="280"/>
      </w:pPr>
      <w:r>
        <w:rPr>
          <w:rFonts w:ascii="Times New Roman" w:cs="Times New Roman" w:eastAsia="Times New Roman" w:hAnsi="Times New Roman"/>
          <w:b/>
          <w:bCs/>
          <w:i w:val="false"/>
          <w:iCs w:val="false"/>
          <w:sz w:val="26"/>
          <w:szCs w:val="26"/>
        </w:rPr>
        <w:t xml:space="preserve">d. Lingkungan Religius</w:t>
      </w:r>
    </w:p>
    <w:p>
      <w:pPr>
        <w:keepNext w:val="false"/>
        <w:spacing w:after="200" w:line="360"/>
        <w:jc w:val="both"/>
      </w:pPr>
      <w:r>
        <w:rPr>
          <w:rFonts w:ascii="Times New Roman" w:cs="Times New Roman" w:eastAsia="Times New Roman" w:hAnsi="Times New Roman"/>
          <w:sz w:val="24"/>
          <w:szCs w:val="24"/>
        </w:rPr>
        <w:t xml:space="preserve">Kehidupan religius Situs 2 tercermin dalam kegiatan shalat berjamaah, pembacaan wirid dan ratib al-Attas, serta kegiatan religius lain yang menyatu dengan rutinitas harian santri (D-S2, bagian K). Penghormatan kepada ustaz, pengasuh, dan asatidzah dibangun melalui adab dan keteladanan, sebagaimana tercatat dalam profil budaya kelembagaan: “Hubungan guru dan santri dibangun berdasarkan penghormatan, adab, keteladanan, dan adab terhadap pengasuh pondok pesantren dan para asatidzah” (D-S2-01, bagian K).</w:t>
      </w:r>
    </w:p>
    <w:p>
      <w:pPr>
        <w:pStyle w:val="Heading3"/>
        <w:spacing w:after="160" w:before="280"/>
      </w:pPr>
      <w:r>
        <w:rPr>
          <w:rFonts w:ascii="Times New Roman" w:cs="Times New Roman" w:eastAsia="Times New Roman" w:hAnsi="Times New Roman"/>
          <w:b/>
          <w:bCs/>
          <w:i w:val="false"/>
          <w:iCs w:val="false"/>
          <w:sz w:val="26"/>
          <w:szCs w:val="26"/>
        </w:rPr>
        <w:t xml:space="preserve">e. Budaya Pesantren sebagai Konteks</w:t>
      </w:r>
    </w:p>
    <w:p>
      <w:pPr>
        <w:keepNext w:val="false"/>
        <w:spacing w:after="200" w:line="360"/>
        <w:jc w:val="both"/>
      </w:pPr>
      <w:r>
        <w:rPr>
          <w:rFonts w:ascii="Times New Roman" w:cs="Times New Roman" w:eastAsia="Times New Roman" w:hAnsi="Times New Roman"/>
          <w:sz w:val="24"/>
          <w:szCs w:val="24"/>
        </w:rPr>
        <w:t xml:space="preserve">Sebagaimana pada Situs 1, budaya pesantren pada Situs 2 hadir lintas dimensi, bukan sebagai dimensi tersendiri. Zona Literasi Turats dan pembinaan membaca bertahap merupakan program akademik yang sekaligus mencerminkan pembiasaan literasi sebagai identitas kelembagaan; dukungan antarsantri dalam kegiatan literasi menghubungkan dimensi sosial; sementara penghormatan terhadap kitab dan ustaz menyertai dimensi religius. Catatan refleksi peneliti pada kunjungan pendahuluan (D-S2, bagian M, 27 Maret 2026) merangkum kesan ini:</w:t>
      </w:r>
    </w:p>
    <w:p>
      <w:pPr>
        <w:spacing w:after="60" w:before="120" w:line="340"/>
        <w:ind w:left="720" w:right="720"/>
        <w:jc w:val="both"/>
      </w:pPr>
      <w:r>
        <w:rPr>
          <w:rFonts w:ascii="Times New Roman" w:cs="Times New Roman" w:eastAsia="Times New Roman" w:hAnsi="Times New Roman"/>
          <w:i/>
          <w:iCs/>
          <w:sz w:val="22"/>
          <w:szCs w:val="22"/>
        </w:rPr>
        <w:t xml:space="preserve">"Lingkungan pesantren menunjukkan suasana religius dan akademik yang mendukung pembelajaran kitab turats. Pembelajaran tidak hanya dilakukan melalui kegiatan kelas, tetapi juga didukung dengan pembiasaan membaca dan kegiatan literasi kitab di lingkungan pesantren."</w:t>
      </w:r>
    </w:p>
    <w:p>
      <w:pPr>
        <w:spacing w:after="200"/>
        <w:ind w:left="720" w:right="720"/>
        <w:jc w:val="right"/>
      </w:pPr>
      <w:r>
        <w:rPr>
          <w:rFonts w:ascii="Times New Roman" w:cs="Times New Roman" w:eastAsia="Times New Roman" w:hAnsi="Times New Roman"/>
          <w:sz w:val="20"/>
          <w:szCs w:val="20"/>
        </w:rPr>
        <w:t xml:space="preserve">(Catatan Lapangan Survei Pendahuluan, D-S2)</w:t>
      </w:r>
    </w:p>
    <w:p>
      <w:pPr>
        <w:pStyle w:val="Heading2"/>
        <w:spacing w:after="200" w:before="360"/>
      </w:pPr>
      <w:r>
        <w:rPr>
          <w:rFonts w:ascii="Times New Roman" w:cs="Times New Roman" w:eastAsia="Times New Roman" w:hAnsi="Times New Roman"/>
          <w:b/>
          <w:bCs/>
          <w:sz w:val="28"/>
          <w:szCs w:val="28"/>
        </w:rPr>
        <w:t xml:space="preserve">3. Minat Belajar Kitab Turats Santri pada Situs 2</w:t>
      </w:r>
    </w:p>
    <w:p>
      <w:pPr>
        <w:keepNext w:val="false"/>
        <w:spacing w:after="200" w:line="360"/>
        <w:jc w:val="both"/>
      </w:pPr>
      <w:r>
        <w:rPr>
          <w:rFonts w:ascii="Times New Roman" w:cs="Times New Roman" w:eastAsia="Times New Roman" w:hAnsi="Times New Roman"/>
          <w:sz w:val="24"/>
          <w:szCs w:val="24"/>
        </w:rPr>
        <w:t xml:space="preserve">Lembar Observasi E pada Situs 2 mencatat bahwa pada sesi yang memiliki target atau kegiatan literasi, “sebagian santri datang lebih awal untuk menyiapkan kitab,” dengan kesiapan yang “lebih tampak pada santri yang aktif dalam program.” Pertanyaan santri selama pembelajaran “muncul pada kata, struktur, dan makna yang belum dipahami,” dengan santri tingkat lanjut tercatat “lebih aktif dalam pertanyaan analitis” (Lembar Observasi E.1).</w:t>
      </w:r>
    </w:p>
    <w:p>
      <w:pPr>
        <w:keepNext w:val="false"/>
        <w:spacing w:after="200" w:line="360"/>
        <w:jc w:val="both"/>
      </w:pPr>
      <w:r>
        <w:rPr>
          <w:rFonts w:ascii="Times New Roman" w:cs="Times New Roman" w:eastAsia="Times New Roman" w:hAnsi="Times New Roman"/>
          <w:sz w:val="24"/>
          <w:szCs w:val="24"/>
        </w:rPr>
        <w:t xml:space="preserve">Pada aspek aktivitas mandiri (Lembar Observasi E.2), tercatat bahwa santri “terlihat membaca kitab di luar jam utama, terutama ketika ada pembiasaan Zona Literasi Turats,” meskipun “aktivitas tidak sama pada semua santri.” Ustaz US-S2-02 memberikan indikator perilaku minat dari sudut pandang pedagogis:</w:t>
      </w:r>
    </w:p>
    <w:p>
      <w:pPr>
        <w:spacing w:after="60" w:before="120" w:line="340"/>
        <w:ind w:left="720" w:right="720"/>
        <w:jc w:val="both"/>
      </w:pPr>
      <w:r>
        <w:rPr>
          <w:rFonts w:ascii="Times New Roman" w:cs="Times New Roman" w:eastAsia="Times New Roman" w:hAnsi="Times New Roman"/>
          <w:i/>
          <w:iCs/>
          <w:sz w:val="22"/>
          <w:szCs w:val="22"/>
        </w:rPr>
        <w:t xml:space="preserve">"Biasanya terlihat dari keaktifan mereka mengikuti pengajian, bertanya ketika tidak memahami, dan ada juga yang membaca kitab di luar waktu pengajian. Kalau santri sudah mau belajar sendiri, berarti minatnya sudah mulai tumbuh."</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Dari sisi self-report, santri junior (SJ-S2-05) menggambarkan pengalaman keberhasilan kecil sebagai sumber motivasi:</w:t>
      </w:r>
    </w:p>
    <w:p>
      <w:pPr>
        <w:spacing w:after="60" w:before="120" w:line="340"/>
        <w:ind w:left="720" w:right="720"/>
        <w:jc w:val="both"/>
      </w:pPr>
      <w:r>
        <w:rPr>
          <w:rFonts w:ascii="Times New Roman" w:cs="Times New Roman" w:eastAsia="Times New Roman" w:hAnsi="Times New Roman"/>
          <w:i/>
          <w:iCs/>
          <w:sz w:val="22"/>
          <w:szCs w:val="22"/>
        </w:rPr>
        <w:t xml:space="preserve">"Kalau bisa membaca sendiri dan mulai paham artinya itu senang. Terus kalau ustaz memuji atau teman membantu juga jadi lebih semangat."</w:t>
      </w:r>
    </w:p>
    <w:p>
      <w:pPr>
        <w:spacing w:after="200"/>
        <w:ind w:left="720" w:right="720"/>
        <w:jc w:val="right"/>
      </w:pPr>
      <w:r>
        <w:rPr>
          <w:rFonts w:ascii="Times New Roman" w:cs="Times New Roman" w:eastAsia="Times New Roman" w:hAnsi="Times New Roman"/>
          <w:sz w:val="20"/>
          <w:szCs w:val="20"/>
        </w:rPr>
        <w:t xml:space="preserve">(SJ-S2-05, TR-SJ-S2-05)</w:t>
      </w:r>
    </w:p>
    <w:p>
      <w:pPr>
        <w:keepNext w:val="false"/>
        <w:spacing w:after="200" w:line="360"/>
        <w:jc w:val="both"/>
      </w:pPr>
      <w:r>
        <w:rPr>
          <w:rFonts w:ascii="Times New Roman" w:cs="Times New Roman" w:eastAsia="Times New Roman" w:hAnsi="Times New Roman"/>
          <w:sz w:val="24"/>
          <w:szCs w:val="24"/>
        </w:rPr>
        <w:t xml:space="preserve">Alumni (AL-S2-06) merefleksikan pengalaman ketertarikannya yang berkembang secara bertahap seiring lamanya berada dalam lingkungan pesantren, sebuah pengalaman individual yang tidak diperlakukan sebagai representasi seluruh alumni atau santri Situs 2. Perbedaan tingkat minat antarsantri diakui secara eksplisit oleh US-S2-02:</w:t>
      </w:r>
    </w:p>
    <w:p>
      <w:pPr>
        <w:spacing w:after="60" w:before="120" w:line="340"/>
        <w:ind w:left="720" w:right="720"/>
        <w:jc w:val="both"/>
      </w:pPr>
      <w:r>
        <w:rPr>
          <w:rFonts w:ascii="Times New Roman" w:cs="Times New Roman" w:eastAsia="Times New Roman" w:hAnsi="Times New Roman"/>
          <w:i/>
          <w:iCs/>
          <w:sz w:val="22"/>
          <w:szCs w:val="22"/>
        </w:rPr>
        <w:t xml:space="preserve">"Minat santri berbeda-beda. Ada yang memang dari awal senang belajar kitab, tetapi ada juga yang perlu didorong. Biasanya kalau sudah mulai bisa membaca dan memahami, minatnya juga semakin tumbuh."</w:t>
      </w:r>
    </w:p>
    <w:p>
      <w:pPr>
        <w:spacing w:after="200"/>
        <w:ind w:left="720" w:right="720"/>
        <w:jc w:val="right"/>
      </w:pPr>
      <w:r>
        <w:rPr>
          <w:rFonts w:ascii="Times New Roman" w:cs="Times New Roman" w:eastAsia="Times New Roman" w:hAnsi="Times New Roman"/>
          <w:sz w:val="20"/>
          <w:szCs w:val="20"/>
        </w:rPr>
        <w:t xml:space="preserve">(US-S2-02, TR-US-S2-02)</w:t>
      </w:r>
    </w:p>
    <w:p>
      <w:pPr>
        <w:pStyle w:val="Heading2"/>
        <w:spacing w:after="200" w:before="360"/>
      </w:pPr>
      <w:r>
        <w:rPr>
          <w:rFonts w:ascii="Times New Roman" w:cs="Times New Roman" w:eastAsia="Times New Roman" w:hAnsi="Times New Roman"/>
          <w:b/>
          <w:bCs/>
          <w:sz w:val="28"/>
          <w:szCs w:val="28"/>
        </w:rPr>
        <w:t xml:space="preserve">4. Faktor Pendukung dan Penghambat pada Situs 2</w:t>
      </w:r>
    </w:p>
    <w:p>
      <w:pPr>
        <w:pStyle w:val="Heading3"/>
        <w:spacing w:after="160" w:before="280"/>
      </w:pPr>
      <w:r>
        <w:rPr>
          <w:rFonts w:ascii="Times New Roman" w:cs="Times New Roman" w:eastAsia="Times New Roman" w:hAnsi="Times New Roman"/>
          <w:b/>
          <w:bCs/>
          <w:i w:val="false"/>
          <w:iCs w:val="false"/>
          <w:sz w:val="26"/>
          <w:szCs w:val="26"/>
        </w:rPr>
        <w:t xml:space="preserve">a. Faktor Pendukung</w:t>
      </w:r>
    </w:p>
    <w:p>
      <w:pPr>
        <w:keepNext w:val="false"/>
        <w:spacing w:after="200" w:line="360"/>
        <w:jc w:val="both"/>
      </w:pPr>
      <w:r>
        <w:rPr>
          <w:rFonts w:ascii="Times New Roman" w:cs="Times New Roman" w:eastAsia="Times New Roman" w:hAnsi="Times New Roman"/>
          <w:sz w:val="24"/>
          <w:szCs w:val="24"/>
        </w:rPr>
        <w:t xml:space="preserve">PA-S2-01 merumuskan tiga faktor utama pendukung keberhasilan santri dari sudut pandang kepemimpinan:</w:t>
      </w:r>
    </w:p>
    <w:p>
      <w:pPr>
        <w:spacing w:after="60" w:before="120" w:line="340"/>
        <w:ind w:left="720" w:right="720"/>
        <w:jc w:val="both"/>
      </w:pPr>
      <w:r>
        <w:rPr>
          <w:rFonts w:ascii="Times New Roman" w:cs="Times New Roman" w:eastAsia="Times New Roman" w:hAnsi="Times New Roman"/>
          <w:i/>
          <w:iCs/>
          <w:sz w:val="22"/>
          <w:szCs w:val="22"/>
        </w:rPr>
        <w:t xml:space="preserve">"Yang paling mendukung adalah lingkungan pesantren, ustaz yang membimbing, dan kemauan santri sendiri. Kalau lingkungannya mendukung dan santrinya punya kemauan, insyaallah pembelajaran kitab bisa berjalan dengan baik."</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Dukungan sosial berupa keteladanan teman yang rajin belajar ditegaskan kembali oleh PG-S2-03:</w:t>
      </w:r>
    </w:p>
    <w:p>
      <w:pPr>
        <w:spacing w:after="60" w:before="120" w:line="340"/>
        <w:ind w:left="720" w:right="720"/>
        <w:jc w:val="both"/>
      </w:pPr>
      <w:r>
        <w:rPr>
          <w:rFonts w:ascii="Times New Roman" w:cs="Times New Roman" w:eastAsia="Times New Roman" w:hAnsi="Times New Roman"/>
          <w:i/>
          <w:iCs/>
          <w:sz w:val="22"/>
          <w:szCs w:val="22"/>
        </w:rPr>
        <w:t xml:space="preserve">"Iya, berpengaruh. Kalau teman-temannya rajin belajar, biasanya santri lain ikut terdorong untuk belajar."</w:t>
      </w:r>
    </w:p>
    <w:p>
      <w:pPr>
        <w:spacing w:after="200"/>
        <w:ind w:left="720" w:right="720"/>
        <w:jc w:val="right"/>
      </w:pPr>
      <w:r>
        <w:rPr>
          <w:rFonts w:ascii="Times New Roman" w:cs="Times New Roman" w:eastAsia="Times New Roman" w:hAnsi="Times New Roman"/>
          <w:sz w:val="20"/>
          <w:szCs w:val="20"/>
        </w:rPr>
        <w:t xml:space="preserve">(PG-S2-03, TR-PG-S2-03)</w:t>
      </w:r>
    </w:p>
    <w:p>
      <w:pPr>
        <w:pStyle w:val="Heading3"/>
        <w:spacing w:after="160" w:before="280"/>
      </w:pPr>
      <w:r>
        <w:rPr>
          <w:rFonts w:ascii="Times New Roman" w:cs="Times New Roman" w:eastAsia="Times New Roman" w:hAnsi="Times New Roman"/>
          <w:b/>
          <w:bCs/>
          <w:i w:val="false"/>
          <w:iCs w:val="false"/>
          <w:sz w:val="26"/>
          <w:szCs w:val="26"/>
        </w:rPr>
        <w:t xml:space="preserve">b. Faktor Penghambat</w:t>
      </w:r>
    </w:p>
    <w:p>
      <w:pPr>
        <w:keepNext w:val="false"/>
        <w:spacing w:after="200" w:line="360"/>
        <w:jc w:val="both"/>
      </w:pPr>
      <w:r>
        <w:rPr>
          <w:rFonts w:ascii="Times New Roman" w:cs="Times New Roman" w:eastAsia="Times New Roman" w:hAnsi="Times New Roman"/>
          <w:sz w:val="24"/>
          <w:szCs w:val="24"/>
        </w:rPr>
        <w:t xml:space="preserve">Heterogenitas kemampuan dan minat santri diakui secara terbuka oleh PA-S2-01:</w:t>
      </w:r>
    </w:p>
    <w:p>
      <w:pPr>
        <w:spacing w:after="60" w:before="120" w:line="340"/>
        <w:ind w:left="720" w:right="720"/>
        <w:jc w:val="both"/>
      </w:pPr>
      <w:r>
        <w:rPr>
          <w:rFonts w:ascii="Times New Roman" w:cs="Times New Roman" w:eastAsia="Times New Roman" w:hAnsi="Times New Roman"/>
          <w:i/>
          <w:iCs/>
          <w:sz w:val="22"/>
          <w:szCs w:val="22"/>
        </w:rPr>
        <w:t xml:space="preserve">"Hambatannya biasanya berasal dari perbedaan kemampuan dan minat santri. Ada santri yang cepat memahami dan ada yang membutuhkan bimbingan lebih. Karena itu ustaz harus menyesuaikan cara membimbingnya."</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Kesibukan dan kurangnya kedisiplinan sebagian santri disampaikan PG-S2-03 sebagai kendala operasional:</w:t>
      </w:r>
    </w:p>
    <w:p>
      <w:pPr>
        <w:spacing w:after="60" w:before="120" w:line="340"/>
        <w:ind w:left="720" w:right="720"/>
        <w:jc w:val="both"/>
      </w:pPr>
      <w:r>
        <w:rPr>
          <w:rFonts w:ascii="Times New Roman" w:cs="Times New Roman" w:eastAsia="Times New Roman" w:hAnsi="Times New Roman"/>
          <w:i/>
          <w:iCs/>
          <w:sz w:val="22"/>
          <w:szCs w:val="22"/>
        </w:rPr>
        <w:t xml:space="preserve">"Kendalanya biasanya ada santri yang kurang disiplin atau lebih tertarik melakukan kegiatan lain daripada belajar."</w:t>
      </w:r>
    </w:p>
    <w:p>
      <w:pPr>
        <w:spacing w:after="200"/>
        <w:ind w:left="720" w:right="720"/>
        <w:jc w:val="right"/>
      </w:pPr>
      <w:r>
        <w:rPr>
          <w:rFonts w:ascii="Times New Roman" w:cs="Times New Roman" w:eastAsia="Times New Roman" w:hAnsi="Times New Roman"/>
          <w:sz w:val="20"/>
          <w:szCs w:val="20"/>
        </w:rPr>
        <w:t xml:space="preserve">(PG-S2-03, TR-PG-S2-03)</w:t>
      </w:r>
    </w:p>
    <w:p>
      <w:pPr>
        <w:keepNext w:val="false"/>
        <w:spacing w:after="200" w:line="360"/>
        <w:jc w:val="both"/>
      </w:pPr>
      <w:r>
        <w:rPr>
          <w:rFonts w:ascii="Times New Roman" w:cs="Times New Roman" w:eastAsia="Times New Roman" w:hAnsi="Times New Roman"/>
          <w:sz w:val="24"/>
          <w:szCs w:val="24"/>
        </w:rPr>
        <w:t xml:space="preserve">Pengaruh teknologi dan perubahan karakter santri lintas generasi turut dicatat sebagai konteks penghambat, tanpa digeneralisasikan sebagai kondisi tetap seluruh santri:</w:t>
      </w:r>
    </w:p>
    <w:p>
      <w:pPr>
        <w:spacing w:after="60" w:before="120" w:line="340"/>
        <w:ind w:left="720" w:right="720"/>
        <w:jc w:val="both"/>
      </w:pPr>
      <w:r>
        <w:rPr>
          <w:rFonts w:ascii="Times New Roman" w:cs="Times New Roman" w:eastAsia="Times New Roman" w:hAnsi="Times New Roman"/>
          <w:i/>
          <w:iCs/>
          <w:sz w:val="22"/>
          <w:szCs w:val="22"/>
        </w:rPr>
        <w:t xml:space="preserve">"Sekarang tantangannya memang lebih besar karena santri banyak mendapatkan pengaruh dari luar, termasuk teknologi. Karena itu lingkungan pesantren harus tetap diarahkan supaya kegiatan keilmuan tidak kalah dengan hal-hal lain."</w:t>
      </w:r>
    </w:p>
    <w:p>
      <w:pPr>
        <w:spacing w:after="200"/>
        <w:ind w:left="720" w:right="720"/>
        <w:jc w:val="right"/>
      </w:pPr>
      <w:r>
        <w:rPr>
          <w:rFonts w:ascii="Times New Roman" w:cs="Times New Roman" w:eastAsia="Times New Roman" w:hAnsi="Times New Roman"/>
          <w:sz w:val="20"/>
          <w:szCs w:val="20"/>
        </w:rPr>
        <w:t xml:space="preserve">(PA-S2-01, TR-PA-S2-01)</w:t>
      </w:r>
    </w:p>
    <w:p>
      <w:pPr>
        <w:keepNext w:val="false"/>
        <w:spacing w:after="200" w:line="360"/>
        <w:jc w:val="both"/>
      </w:pPr>
      <w:r>
        <w:rPr>
          <w:rFonts w:ascii="Times New Roman" w:cs="Times New Roman" w:eastAsia="Times New Roman" w:hAnsi="Times New Roman"/>
          <w:sz w:val="24"/>
          <w:szCs w:val="24"/>
        </w:rPr>
        <w:t xml:space="preserve">Santri senior (SS-S2-04) turut mengonfirmasi kesulitan teknis yang dihadapi sebagian santri dalam menghadapi teks yang lebih kompleks:</w:t>
      </w:r>
    </w:p>
    <w:p>
      <w:pPr>
        <w:spacing w:after="60" w:before="120" w:line="340"/>
        <w:ind w:left="720" w:right="720"/>
        <w:jc w:val="both"/>
      </w:pPr>
      <w:r>
        <w:rPr>
          <w:rFonts w:ascii="Times New Roman" w:cs="Times New Roman" w:eastAsia="Times New Roman" w:hAnsi="Times New Roman"/>
          <w:i/>
          <w:iCs/>
          <w:sz w:val="22"/>
          <w:szCs w:val="22"/>
        </w:rPr>
        <w:t xml:space="preserve">"Yang paling sulit biasanya ketika menemukan kalimat yang panjang atau kata-kata yang belum pernah dipelajari. Kalau tidak tahu nahwu dan sharafnya, kadang sulit menentukan maksud kalimat."</w:t>
      </w:r>
    </w:p>
    <w:p>
      <w:pPr>
        <w:spacing w:after="200"/>
        <w:ind w:left="720" w:right="720"/>
        <w:jc w:val="right"/>
      </w:pPr>
      <w:r>
        <w:rPr>
          <w:rFonts w:ascii="Times New Roman" w:cs="Times New Roman" w:eastAsia="Times New Roman" w:hAnsi="Times New Roman"/>
          <w:sz w:val="20"/>
          <w:szCs w:val="20"/>
        </w:rPr>
        <w:t xml:space="preserve">(SS-S2-04, TR-SS-S2-04)</w:t>
      </w:r>
    </w:p>
    <w:p>
      <w:pPr>
        <w:pStyle w:val="Heading2"/>
        <w:spacing w:after="200" w:before="360"/>
      </w:pPr>
      <w:r>
        <w:rPr>
          <w:rFonts w:ascii="Times New Roman" w:cs="Times New Roman" w:eastAsia="Times New Roman" w:hAnsi="Times New Roman"/>
          <w:b/>
          <w:bCs/>
          <w:sz w:val="28"/>
          <w:szCs w:val="28"/>
        </w:rPr>
        <w:t xml:space="preserve">5. Implikasi terhadap Minat Belajar dan Maharah Qira'ah pada Situs 2</w:t>
      </w:r>
    </w:p>
    <w:p>
      <w:pPr>
        <w:pStyle w:val="Heading3"/>
        <w:spacing w:after="160" w:before="280"/>
      </w:pPr>
      <w:r>
        <w:rPr>
          <w:rFonts w:ascii="Times New Roman" w:cs="Times New Roman" w:eastAsia="Times New Roman" w:hAnsi="Times New Roman"/>
          <w:b/>
          <w:bCs/>
          <w:i w:val="false"/>
          <w:iCs w:val="false"/>
          <w:sz w:val="26"/>
          <w:szCs w:val="26"/>
        </w:rPr>
        <w:t xml:space="preserve">a. Implikasi terhadap Minat Belajar Kitab Turats</w:t>
      </w:r>
    </w:p>
    <w:p>
      <w:pPr>
        <w:keepNext w:val="false"/>
        <w:spacing w:after="200" w:line="360"/>
        <w:jc w:val="both"/>
      </w:pPr>
      <w:r>
        <w:rPr>
          <w:rFonts w:ascii="Times New Roman" w:cs="Times New Roman" w:eastAsia="Times New Roman" w:hAnsi="Times New Roman"/>
          <w:sz w:val="24"/>
          <w:szCs w:val="24"/>
        </w:rPr>
        <w:t xml:space="preserve">Data lintas informan menunjukkan bahwa Zona Literasi Turats, pembinaan bertahap, dan Lomba Literasi Turats berkaitan dengan pola keterlibatan yang bergerak dari kepatuhan menuju inisiatif, sejalan dengan pola yang ditemukan pada Situs 1 meski melalui mekanisme kelembagaan yang berbeda. SS-S2-04 merangkum pandangannya tentang faktor yang menopang keberlanjutan minat:</w:t>
      </w:r>
    </w:p>
    <w:p>
      <w:pPr>
        <w:spacing w:after="60" w:before="120" w:line="340"/>
        <w:ind w:left="720" w:right="720"/>
        <w:jc w:val="both"/>
      </w:pPr>
      <w:r>
        <w:rPr>
          <w:rFonts w:ascii="Times New Roman" w:cs="Times New Roman" w:eastAsia="Times New Roman" w:hAnsi="Times New Roman"/>
          <w:i/>
          <w:iCs/>
          <w:sz w:val="22"/>
          <w:szCs w:val="22"/>
        </w:rPr>
        <w:t xml:space="preserve">"Menurut saya pembiasaan membaca tetap harus dijaga. Selain itu, ustaz bisa memberikan motivasi dan cara belajar yang mudah dipahami. Kalau suasana belajar nyaman dan teman-teman juga mendukung, santri akan lebih mudah tertarik untuk belajar kitab."</w:t>
      </w:r>
    </w:p>
    <w:p>
      <w:pPr>
        <w:spacing w:after="200"/>
        <w:ind w:left="720" w:right="720"/>
        <w:jc w:val="right"/>
      </w:pPr>
      <w:r>
        <w:rPr>
          <w:rFonts w:ascii="Times New Roman" w:cs="Times New Roman" w:eastAsia="Times New Roman" w:hAnsi="Times New Roman"/>
          <w:sz w:val="20"/>
          <w:szCs w:val="20"/>
        </w:rPr>
        <w:t xml:space="preserve">(SS-S2-04, TR-SS-S2-04)</w:t>
      </w:r>
    </w:p>
    <w:p>
      <w:pPr>
        <w:pStyle w:val="Heading3"/>
        <w:spacing w:after="160" w:before="280"/>
      </w:pPr>
      <w:r>
        <w:rPr>
          <w:rFonts w:ascii="Times New Roman" w:cs="Times New Roman" w:eastAsia="Times New Roman" w:hAnsi="Times New Roman"/>
          <w:b/>
          <w:bCs/>
          <w:i w:val="false"/>
          <w:iCs w:val="false"/>
          <w:sz w:val="26"/>
          <w:szCs w:val="26"/>
        </w:rPr>
        <w:t xml:space="preserve">b. Implikasi terhadap Perkembangan Maharah Qira'ah</w:t>
      </w:r>
    </w:p>
    <w:p>
      <w:pPr>
        <w:keepNext w:val="false"/>
        <w:spacing w:after="200" w:line="360"/>
        <w:jc w:val="both"/>
      </w:pPr>
      <w:r>
        <w:rPr>
          <w:rFonts w:ascii="Times New Roman" w:cs="Times New Roman" w:eastAsia="Times New Roman" w:hAnsi="Times New Roman"/>
          <w:b/>
          <w:bCs/>
          <w:sz w:val="24"/>
          <w:szCs w:val="24"/>
        </w:rPr>
        <w:t xml:space="preserve">Kemampuan membaca teks tanpa harakat.</w:t>
      </w:r>
      <w:r>
        <w:rPr>
          <w:rFonts w:ascii="Times New Roman" w:cs="Times New Roman" w:eastAsia="Times New Roman" w:hAnsi="Times New Roman"/>
          <w:sz w:val="24"/>
          <w:szCs w:val="24"/>
        </w:rPr>
        <w:t xml:space="preserve"> Lembar Observasi F.1 (Situs 2) mencatat bahwa “kemampuan berbeda menurut tingkat; santri yang lebih lama berinteraksi dengan kitab cenderung lebih lancar,” dengan pembagian bertingkat memberi “ruang latihan sesuai kemampuan.”</w:t>
      </w:r>
    </w:p>
    <w:p>
      <w:pPr>
        <w:keepNext w:val="false"/>
        <w:spacing w:after="200" w:line="360"/>
        <w:jc w:val="both"/>
      </w:pPr>
      <w:r>
        <w:rPr>
          <w:rFonts w:ascii="Times New Roman" w:cs="Times New Roman" w:eastAsia="Times New Roman" w:hAnsi="Times New Roman"/>
          <w:b/>
          <w:bCs/>
          <w:sz w:val="24"/>
          <w:szCs w:val="24"/>
        </w:rPr>
        <w:t xml:space="preserve">Nahwu-sharaf dan ketepatan struktur.</w:t>
      </w:r>
      <w:r>
        <w:rPr>
          <w:rFonts w:ascii="Times New Roman" w:cs="Times New Roman" w:eastAsia="Times New Roman" w:hAnsi="Times New Roman"/>
          <w:sz w:val="24"/>
          <w:szCs w:val="24"/>
        </w:rPr>
        <w:t xml:space="preserve"> Pola kesalahan yang teramati “terutama pada harakat akhir, bentuk kata, dan struktur nahwu-sharaf,” dengan kesalahan “lebih sering pada santri awal” (Lembar Observasi F.1, Situs 2).</w:t>
      </w:r>
    </w:p>
    <w:p>
      <w:pPr>
        <w:keepNext w:val="false"/>
        <w:spacing w:after="200" w:line="360"/>
        <w:jc w:val="both"/>
      </w:pPr>
      <w:r>
        <w:rPr>
          <w:rFonts w:ascii="Times New Roman" w:cs="Times New Roman" w:eastAsia="Times New Roman" w:hAnsi="Times New Roman"/>
          <w:b/>
          <w:bCs/>
          <w:sz w:val="24"/>
          <w:szCs w:val="24"/>
        </w:rPr>
        <w:t xml:space="preserve">Memahami dan memaknai teks.</w:t>
      </w:r>
      <w:r>
        <w:rPr>
          <w:rFonts w:ascii="Times New Roman" w:cs="Times New Roman" w:eastAsia="Times New Roman" w:hAnsi="Times New Roman"/>
          <w:sz w:val="24"/>
          <w:szCs w:val="24"/>
        </w:rPr>
        <w:t xml:space="preserve"> SJ-S2-05 menggambarkan pengalaman awalnya menghadapi kesulitan teks tanpa harakat sekaligus keterbatasan kosakata:</w:t>
      </w:r>
    </w:p>
    <w:p>
      <w:pPr>
        <w:spacing w:after="60" w:before="120" w:line="340"/>
        <w:ind w:left="720" w:right="720"/>
        <w:jc w:val="both"/>
      </w:pPr>
      <w:r>
        <w:rPr>
          <w:rFonts w:ascii="Times New Roman" w:cs="Times New Roman" w:eastAsia="Times New Roman" w:hAnsi="Times New Roman"/>
          <w:i/>
          <w:iCs/>
          <w:sz w:val="22"/>
          <w:szCs w:val="22"/>
        </w:rPr>
        <w:t xml:space="preserve">"Awalnya cukup sulit, terutama membaca tulisan yang tidak ada harakatnya. Saya masih bingung menentukan harakat dan arti kalimatnya."</w:t>
      </w:r>
    </w:p>
    <w:p>
      <w:pPr>
        <w:spacing w:after="200"/>
        <w:ind w:left="720" w:right="720"/>
        <w:jc w:val="right"/>
      </w:pPr>
      <w:r>
        <w:rPr>
          <w:rFonts w:ascii="Times New Roman" w:cs="Times New Roman" w:eastAsia="Times New Roman" w:hAnsi="Times New Roman"/>
          <w:sz w:val="20"/>
          <w:szCs w:val="20"/>
        </w:rPr>
        <w:t xml:space="preserve">(SJ-S2-05, TR-SJ-S2-05)</w:t>
      </w:r>
    </w:p>
    <w:p>
      <w:pPr>
        <w:keepNext w:val="false"/>
        <w:spacing w:after="200" w:line="360"/>
        <w:jc w:val="both"/>
      </w:pPr>
      <w:r>
        <w:rPr>
          <w:rFonts w:ascii="Times New Roman" w:cs="Times New Roman" w:eastAsia="Times New Roman" w:hAnsi="Times New Roman"/>
          <w:b/>
          <w:bCs/>
          <w:sz w:val="24"/>
          <w:szCs w:val="24"/>
        </w:rPr>
        <w:t xml:space="preserve">Perkembangan kemampuan membaca kitab.</w:t>
      </w:r>
      <w:r>
        <w:rPr>
          <w:rFonts w:ascii="Times New Roman" w:cs="Times New Roman" w:eastAsia="Times New Roman" w:hAnsi="Times New Roman"/>
          <w:sz w:val="24"/>
          <w:szCs w:val="24"/>
        </w:rPr>
        <w:t xml:space="preserve"> US-S2-02 merangkum pandangan pedagogisnya tentang keterkaitan intensitas belajar dengan perkembangan qira'ah:</w:t>
      </w:r>
    </w:p>
    <w:p>
      <w:pPr>
        <w:spacing w:after="60" w:before="120" w:line="340"/>
        <w:ind w:left="720" w:right="720"/>
        <w:jc w:val="both"/>
      </w:pPr>
      <w:r>
        <w:rPr>
          <w:rFonts w:ascii="Times New Roman" w:cs="Times New Roman" w:eastAsia="Times New Roman" w:hAnsi="Times New Roman"/>
          <w:i/>
          <w:iCs/>
          <w:sz w:val="22"/>
          <w:szCs w:val="22"/>
        </w:rPr>
        <w:t xml:space="preserve">"Secara umum ada perkembangan. Santri yang rutin mengikuti pengajian dan sering membaca biasanya lebih cepat berkembang. Yang masih kurang biasanya karena jarang membaca atau kurang percaya diri ketika diminta membaca."</w:t>
      </w:r>
    </w:p>
    <w:p>
      <w:pPr>
        <w:spacing w:after="200"/>
        <w:ind w:left="720" w:right="720"/>
        <w:jc w:val="right"/>
      </w:pPr>
      <w:r>
        <w:rPr>
          <w:rFonts w:ascii="Times New Roman" w:cs="Times New Roman" w:eastAsia="Times New Roman" w:hAnsi="Times New Roman"/>
          <w:sz w:val="20"/>
          <w:szCs w:val="20"/>
        </w:rPr>
        <w:t xml:space="preserve">(US-S2-02, TR-US-S2-02)</w:t>
      </w:r>
    </w:p>
    <w:p>
      <w:pPr>
        <w:keepNext w:val="false"/>
        <w:spacing w:after="200" w:line="360"/>
        <w:jc w:val="both"/>
      </w:pPr>
      <w:r>
        <w:rPr>
          <w:rFonts w:ascii="Times New Roman" w:cs="Times New Roman" w:eastAsia="Times New Roman" w:hAnsi="Times New Roman"/>
          <w:sz w:val="24"/>
          <w:szCs w:val="24"/>
        </w:rPr>
        <w:t xml:space="preserve">Santri senior (SS-S2-04) merefleksikan perjalanan kemampuannya secara longitudinal, menegaskan pola perkembangan kualitatif yang konsisten dengan temuan Situs 1:</w:t>
      </w:r>
    </w:p>
    <w:p>
      <w:pPr>
        <w:spacing w:after="60" w:before="120" w:line="340"/>
        <w:ind w:left="720" w:right="720"/>
        <w:jc w:val="both"/>
      </w:pPr>
      <w:r>
        <w:rPr>
          <w:rFonts w:ascii="Times New Roman" w:cs="Times New Roman" w:eastAsia="Times New Roman" w:hAnsi="Times New Roman"/>
          <w:i/>
          <w:iCs/>
          <w:sz w:val="22"/>
          <w:szCs w:val="22"/>
        </w:rPr>
        <w:t xml:space="preserve">"Perkembangannya cukup terasa. Dulu saya masih sering salah membaca dan harus menunggu ustaz memberikan contoh. Sekarang sudah lebih berani membaca sendiri dan bisa menentukan sebagian harakat berdasarkan kaidah yang dipelajari."</w:t>
      </w:r>
    </w:p>
    <w:p>
      <w:pPr>
        <w:spacing w:after="200"/>
        <w:ind w:left="720" w:right="720"/>
        <w:jc w:val="right"/>
      </w:pPr>
      <w:r>
        <w:rPr>
          <w:rFonts w:ascii="Times New Roman" w:cs="Times New Roman" w:eastAsia="Times New Roman" w:hAnsi="Times New Roman"/>
          <w:sz w:val="20"/>
          <w:szCs w:val="20"/>
        </w:rPr>
        <w:t xml:space="preserve">(SS-S2-04, TR-SS-S2-04)</w:t>
      </w:r>
    </w:p>
    <w:sectPr>
      <w:headerReference w:type="default" r:id="rId7"/>
      <w:footerReference w:type="default" r:id="rId8"/>
      <w:pgSz w:w="11906" w:h="16838" w:orient="portrait"/>
      <w:pgMar w:top="1701"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BAB IV — Draf Perluasan (Situs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2026-09-08T08:14:49.989Z</dcterms:created>
  <dcterms:modified xsi:type="dcterms:W3CDTF">2026-09-08T08:14:50.002Z</dcterms:modified>
</cp:coreProperties>
</file>

<file path=docProps/custom.xml><?xml version="1.0" encoding="utf-8"?>
<Properties xmlns="http://schemas.openxmlformats.org/officeDocument/2006/custom-properties" xmlns:vt="http://schemas.openxmlformats.org/officeDocument/2006/docPropsVTypes"/>
</file>