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BAB IV (DRAF PERLUASAN — BAGIAN C &amp; D)</w:t>
      </w:r>
    </w:p>
    <w:p>
      <w:pPr>
        <w:spacing w:after="200"/>
        <w:jc w:val="center"/>
      </w:pPr>
      <w:r>
        <w:rPr>
          <w:rFonts w:ascii="Times New Roman" w:cs="Times New Roman" w:eastAsia="Times New Roman" w:hAnsi="Times New Roman"/>
          <w:b/>
          <w:bCs/>
          <w:sz w:val="28"/>
          <w:szCs w:val="28"/>
        </w:rPr>
        <w:t xml:space="preserve">TEMUAN PENELITIAN SITUS 1 DAN SITUS 2</w:t>
      </w:r>
    </w:p>
    <w:p>
      <w:pPr>
        <w:spacing w:after="600"/>
        <w:jc w:val="center"/>
      </w:pPr>
      <w:r>
        <w:rPr>
          <w:rFonts w:ascii="Times New Roman" w:cs="Times New Roman" w:eastAsia="Times New Roman" w:hAnsi="Times New Roman"/>
          <w:i/>
          <w:iCs/>
          <w:sz w:val="22"/>
          <w:szCs w:val="22"/>
        </w:rPr>
        <w:t xml:space="preserve">(Draf untuk ditinjau sebelum penyusunan E–F dan penggabungan akhir)</w:t>
      </w:r>
    </w:p>
    <w:p>
      <w:pPr>
        <w:pStyle w:val="Heading1"/>
        <w:spacing w:after="240" w:before="480"/>
      </w:pPr>
      <w:r>
        <w:rPr>
          <w:rFonts w:ascii="Times New Roman" w:cs="Times New Roman" w:eastAsia="Times New Roman" w:hAnsi="Times New Roman"/>
          <w:b/>
          <w:bCs/>
          <w:sz w:val="32"/>
          <w:szCs w:val="32"/>
        </w:rPr>
        <w:t xml:space="preserve">C. Temuan Penelitian Situs 1: Pondok Pesantren An-Najiyah II (Versi Diperluas)</w:t>
      </w:r>
    </w:p>
    <w:p>
      <w:pPr>
        <w:keepNext w:val="false"/>
        <w:spacing w:after="200" w:line="360"/>
        <w:jc w:val="both"/>
      </w:pPr>
      <w:r>
        <w:rPr>
          <w:rFonts w:ascii="Times New Roman" w:cs="Times New Roman" w:eastAsia="Times New Roman" w:hAnsi="Times New Roman"/>
          <w:sz w:val="24"/>
          <w:szCs w:val="24"/>
        </w:rPr>
        <w:t xml:space="preserve">Bagian ini menyajikan abstraksi analitis dari paparan data Situs 1 pada Bagian A. Setiap temuan dirumuskan sebagai pernyataan proposisional yang ditautkan secara eksplisit kepada kode sumber — kode informan (PA/US/PG/SS/SJ-S1), kode observasi (OBS-S1-xx), dan kode dokumentasi (D-S1-xx) — sebagai bentuk audit trail yang memungkinkan setiap klaim ditelusuri kembali ke data mentah pada Bagian A.</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b/>
          <w:bCs/>
          <w:sz w:val="24"/>
          <w:szCs w:val="24"/>
        </w:rPr>
        <w:t xml:space="preserve">Temuan 1.1 — Konfigurasi, bukan program tunggal.</w:t>
      </w:r>
      <w:r>
        <w:rPr>
          <w:rFonts w:ascii="Times New Roman" w:cs="Times New Roman" w:eastAsia="Times New Roman" w:hAnsi="Times New Roman"/>
          <w:sz w:val="24"/>
          <w:szCs w:val="24"/>
        </w:rPr>
        <w:t xml:space="preserve"> Strategi lingkungan pembelajaran pada Situs 1 tidak bertumpu pada satu program, melainkan merupakan konfigurasi antara lingkungan fisik (ruang pengajian, D-S1-10), struktur akademik (Target Bacaan Mingguan, Forum Mudzakarah Ilmiyyah, Belajar Malam Wajib; D-S1-01 bagian E dan J), pendampingan sosial (interaksi ustaz-santri dan peer learning; TR-PG-S1-03, OBS-S1-09/10), dan konteks religius pesantren (D-S1-01 bagian K). Triangulasi antara pernyataan pengasuh (PA-S1-01), dokumen profil kelembagaan (D-S1-01), dan observasi lapangan (OBS-S1-01 s.d. OBS-S1-15) menunjukkan konsistensi bahwa keempat unsur ini berjalan secara simultan, bukan berurutan atau saling menggantikan.</w:t>
      </w:r>
    </w:p>
    <w:p>
      <w:pPr>
        <w:keepNext w:val="false"/>
        <w:spacing w:after="200" w:line="360"/>
        <w:jc w:val="both"/>
      </w:pPr>
      <w:r>
        <w:rPr>
          <w:rFonts w:ascii="Times New Roman" w:cs="Times New Roman" w:eastAsia="Times New Roman" w:hAnsi="Times New Roman"/>
          <w:b/>
          <w:bCs/>
          <w:sz w:val="24"/>
          <w:szCs w:val="24"/>
        </w:rPr>
        <w:t xml:space="preserve">Temuan 1.2 — Orientasi pada struktur, rutinitas, target, pengawasan, dan pendampingan.</w:t>
      </w:r>
      <w:r>
        <w:rPr>
          <w:rFonts w:ascii="Times New Roman" w:cs="Times New Roman" w:eastAsia="Times New Roman" w:hAnsi="Times New Roman"/>
          <w:sz w:val="24"/>
          <w:szCs w:val="24"/>
        </w:rPr>
        <w:t xml:space="preserve"> Tiga program eksplisit — Target Bacaan Mingguan, Forum Mudzakarah Ilmiyyah, dan Belajar Malam Wajib — secara konsisten disebut oleh ketiga informan lapisan kelembagaan (PA-S1-01, US-S1-02, PG-S1-03) sebagai inti strategi. PG-S1-03 secara eksplisit mengaitkan pembiasaan dengan pengaturan jadwal yang tidak berdiri sendiri (TR-PG-S1-03), sedangkan dokumentasi program (D-S1-07, D-S1-08, D-S1-09) mengonfirmasi keberadaan fisik ketiga program tersebut sebagai kegiatan yang benar-benar terlaksana, bukan sekadar tercantum dalam dokumen perencanaan.</w:t>
      </w:r>
    </w:p>
    <w:p>
      <w:pPr>
        <w:keepNext w:val="false"/>
        <w:spacing w:after="200" w:line="360"/>
        <w:jc w:val="both"/>
      </w:pPr>
      <w:r>
        <w:rPr>
          <w:rFonts w:ascii="Times New Roman" w:cs="Times New Roman" w:eastAsia="Times New Roman" w:hAnsi="Times New Roman"/>
          <w:b/>
          <w:bCs/>
          <w:sz w:val="24"/>
          <w:szCs w:val="24"/>
        </w:rPr>
        <w:t xml:space="preserve">Temuan 1.3 — Variasi mekanisme pendampingan pedagogis.</w:t>
      </w:r>
      <w:r>
        <w:rPr>
          <w:rFonts w:ascii="Times New Roman" w:cs="Times New Roman" w:eastAsia="Times New Roman" w:hAnsi="Times New Roman"/>
          <w:sz w:val="24"/>
          <w:szCs w:val="24"/>
        </w:rPr>
        <w:t xml:space="preserve"> Sorogan, bandongan/wetonan, dan pembacaan terbimbing memberikan variasi kesempatan bagi santri untuk mendengar penjelasan, membaca, memperoleh koreksi, dan mendiskusikan materi. Observasi terhadap sorogan (OBS-S1-04, Lembar B.1) mencatat bahwa koreksi “tidak hanya diberikan setelah santri selesai membaca,” melainkan berlangsung selama proses membaca — pola yang juga dikonfirmasi secara independen oleh pernyataan US-S1-02 mengenai pendekatan bertahap terhadap santri yang belum lancar (TR-US-S1-02). Konsistensi antara data observasi dan wawancara pada titik ini memperkuat keandalan temuan.</w:t>
      </w:r>
    </w:p>
    <w:p>
      <w:pPr>
        <w:keepNext w:val="false"/>
        <w:spacing w:after="200" w:line="360"/>
        <w:jc w:val="both"/>
      </w:pPr>
      <w:r>
        <w:rPr>
          <w:rFonts w:ascii="Times New Roman" w:cs="Times New Roman" w:eastAsia="Times New Roman" w:hAnsi="Times New Roman"/>
          <w:b/>
          <w:bCs/>
          <w:sz w:val="24"/>
          <w:szCs w:val="24"/>
        </w:rPr>
        <w:t xml:space="preserve">Temuan 1.4 — Dua lapis dukungan belajar: ustaz dan teman sebaya.</w:t>
      </w:r>
      <w:r>
        <w:rPr>
          <w:rFonts w:ascii="Times New Roman" w:cs="Times New Roman" w:eastAsia="Times New Roman" w:hAnsi="Times New Roman"/>
          <w:sz w:val="24"/>
          <w:szCs w:val="24"/>
        </w:rPr>
        <w:t xml:space="preserve"> Ustaz berfungsi sebagai pembimbing pedagogis dan pemberi koreksi (TR-US-S1-02; OBS-S1-04/05), sedangkan teman sebaya menyediakan dukungan sosial dan peer learning, khususnya dalam pola bantuan senior kepada junior yang ditegaskan berulang oleh PG-S1-03 dan tercermin dalam pengalaman SJ-S1-05 yang menyebut bantuan ustaz sebagai sumber koreksi bacaan utamanya (TR-SJ-S1-05). Kedua lapis ini bekerja komplementer, bukan saling menggantikan.</w:t>
      </w:r>
    </w:p>
    <w:p>
      <w:pPr>
        <w:keepNext w:val="false"/>
        <w:spacing w:after="200" w:line="360"/>
        <w:jc w:val="both"/>
      </w:pPr>
      <w:r>
        <w:rPr>
          <w:rFonts w:ascii="Times New Roman" w:cs="Times New Roman" w:eastAsia="Times New Roman" w:hAnsi="Times New Roman"/>
          <w:b/>
          <w:bCs/>
          <w:sz w:val="24"/>
          <w:szCs w:val="24"/>
        </w:rPr>
        <w:t xml:space="preserve">Temuan 1.5 — Budaya pesantren sebagai konteks lintas dimensi.</w:t>
      </w:r>
      <w:r>
        <w:rPr>
          <w:rFonts w:ascii="Times New Roman" w:cs="Times New Roman" w:eastAsia="Times New Roman" w:hAnsi="Times New Roman"/>
          <w:sz w:val="24"/>
          <w:szCs w:val="24"/>
        </w:rPr>
        <w:t xml:space="preserve"> Adab dan ta'dzim kepada ustaz (D-S1-01 bagian K) menghubungkan dimensi sosial dan religius sekaligus, sementara Target Bacaan Mingguan dan Belajar Malam Wajib berada pada lingkungan akademik namun juga mencerminkan pembiasaan dan kedisiplinan yang bersifat lintas dimensi. Catatan refleksi peneliti pada kunjungan pendahuluan (D-S1, bagian M) menggambarkan integrasi ini secara naratif: kehidupan santri berlangsung “secara terintegrasi antara kegiatan pendidikan, keagamaan dan formal.”</w:t>
      </w:r>
    </w:p>
    <w:p>
      <w:pPr>
        <w:keepNext w:val="false"/>
        <w:spacing w:after="200" w:line="360"/>
        <w:jc w:val="both"/>
      </w:pPr>
      <w:r>
        <w:rPr>
          <w:rFonts w:ascii="Times New Roman" w:cs="Times New Roman" w:eastAsia="Times New Roman" w:hAnsi="Times New Roman"/>
          <w:b/>
          <w:bCs/>
          <w:sz w:val="24"/>
          <w:szCs w:val="24"/>
        </w:rPr>
        <w:t xml:space="preserve">Temuan 1.6 — Minat dibaca melalui kombinasi jejak empiris.</w:t>
      </w:r>
      <w:r>
        <w:rPr>
          <w:rFonts w:ascii="Times New Roman" w:cs="Times New Roman" w:eastAsia="Times New Roman" w:hAnsi="Times New Roman"/>
          <w:sz w:val="24"/>
          <w:szCs w:val="24"/>
        </w:rPr>
        <w:t xml:space="preserve"> Perhatian, keterlibatan, konsistensi, kesungguhan, inisiatif membaca, aktivitas diskusi, dan kemauan memperdalam kitab teramati secara konsisten pada Lembar Observasi E, dan diperkuat oleh pernyataan motivasional SS-S1-04 dan SJ-S1-05 yang menekankan kepuasan pribadi sebagai sumber ketertarikan (TR-SS-S1-04; TR-SJ-S1-05). Kehadiran dalam kegiatan wajib secara eksplisit tidak digunakan sebagai bukti tunggal minat, mengingat sebagian kegiatan — termasuk Belajar Malam Wajib — bersifat kewajiban kelembagaan, sebagaimana namanya sendiri menunjukkan.</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b/>
          <w:bCs/>
          <w:sz w:val="24"/>
          <w:szCs w:val="24"/>
        </w:rPr>
        <w:t xml:space="preserve">Faktor pendukung.</w:t>
      </w:r>
      <w:r>
        <w:rPr>
          <w:rFonts w:ascii="Times New Roman" w:cs="Times New Roman" w:eastAsia="Times New Roman" w:hAnsi="Times New Roman"/>
          <w:sz w:val="24"/>
          <w:szCs w:val="24"/>
        </w:rPr>
        <w:t xml:space="preserve"> Empat lapis dukungan teridentifikasi secara konsisten: arah dan dukungan pengasuh (TR-PA-S1-01), kompetensi dan keteladanan ustaz (TR-US-S1-02), struktur program kelembagaan (D-S1-07/08/09), serta dukungan teman sebaya (TR-PG-S1-03; TR-SS-S1-04). PG-S1-03 secara eksplisit menyebut kombinasi “kedisiplinan kegiatan, ustaz yang mengajar dan lingkungan pesantren” sebagai faktor operasional paling penting — rumusan yang menegaskan bahwa dukungan tidak bertumpu pada satu sumber tunggal.</w:t>
      </w:r>
    </w:p>
    <w:p>
      <w:pPr>
        <w:keepNext w:val="false"/>
        <w:spacing w:after="200" w:line="360"/>
        <w:jc w:val="both"/>
      </w:pPr>
      <w:r>
        <w:rPr>
          <w:rFonts w:ascii="Times New Roman" w:cs="Times New Roman" w:eastAsia="Times New Roman" w:hAnsi="Times New Roman"/>
          <w:b/>
          <w:bCs/>
          <w:sz w:val="24"/>
          <w:szCs w:val="24"/>
        </w:rPr>
        <w:t xml:space="preserve">Faktor penghambat.</w:t>
      </w:r>
      <w:r>
        <w:rPr>
          <w:rFonts w:ascii="Times New Roman" w:cs="Times New Roman" w:eastAsia="Times New Roman" w:hAnsi="Times New Roman"/>
          <w:sz w:val="24"/>
          <w:szCs w:val="24"/>
        </w:rPr>
        <w:t xml:space="preserve"> Heterogenitas kemampuan awal diakui langsung oleh PA-S1-01 sebagai tantangan utama dalam menjaga semangat santri (TR-PA-S1-01), sejalan dengan pola kesalahan membaca yang teramati lebih banyak pada santri tahap awal pembelajaran (Lembar Observasi F.1). Keterbatasan waktu dan kelelahan dikonfirmasi oleh PG-S1-03 dari sudut pandang manajerial (TR-PG-S1-03), sedangkan teknologi/gadget muncul sebagai potensi distraksi kontekstual menurut PA-S1-01, tanpa dinyatakan sebagai hambatan yang berlaku merata pada seluruh santri (TR-PA-S1-01).</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Strategi Situs 1 menyediakan kesempatan berulang bagi santri untuk berinteraksi dengan kitab melalui pengajian, Target Bacaan Mingguan, Belajar Malam Wajib, sorogan, pembacaan terbimbing, dan Forum Mudzakarah Ilmiyyah. Perkembangan maharah qira'ah tergambar melalui empat aspek yang konsisten dengan Lembar Observasi F: kemampuan membaca teks tanpa harakat (lebih lancar pada santri senior), penerapan nahwu-sharaf (kesalahan dominan pada santri tahap awal), pemahaman/pemaknaan teks (dikonfirmasi melalui pengalaman transisi SJ-S1-05, TR-SJ-S1-05), dan perkembangan kemampuan membaca secara kualitatif (dirangkum langsung oleh US-S1-02 sebagai proses yang membutuhkan “latihan terus-menerus,” TR-US-S1-02). Perkembangan ini dipahami sebagai akumulasi pengalaman, bukan efek kausal dari satu program tertentu, karena data tidak memungkinkan pemisahan kontribusi masing-masing program secara terpisah.</w:t>
      </w:r>
    </w:p>
    <w:p>
      <w:pPr>
        <w:pStyle w:val="Heading2"/>
        <w:spacing w:after="200" w:before="360"/>
      </w:pPr>
      <w:r>
        <w:rPr>
          <w:rFonts w:ascii="Times New Roman" w:cs="Times New Roman" w:eastAsia="Times New Roman" w:hAnsi="Times New Roman"/>
          <w:b/>
          <w:bCs/>
          <w:sz w:val="28"/>
          <w:szCs w:val="28"/>
        </w:rPr>
        <w:t xml:space="preserve">4. Pola Utama Situs 1</w:t>
      </w:r>
    </w:p>
    <w:p>
      <w:pPr>
        <w:keepNext w:val="false"/>
        <w:spacing w:after="200" w:line="360"/>
        <w:jc w:val="both"/>
      </w:pPr>
      <w:r>
        <w:rPr>
          <w:rFonts w:ascii="Times New Roman" w:cs="Times New Roman" w:eastAsia="Times New Roman" w:hAnsi="Times New Roman"/>
          <w:sz w:val="24"/>
          <w:szCs w:val="24"/>
        </w:rPr>
        <w:t xml:space="preserve">Pola utama Situs 1 adalah </w:t>
      </w:r>
      <w:r>
        <w:rPr>
          <w:rFonts w:ascii="Times New Roman" w:cs="Times New Roman" w:eastAsia="Times New Roman" w:hAnsi="Times New Roman"/>
          <w:b/>
          <w:bCs/>
          <w:sz w:val="24"/>
          <w:szCs w:val="24"/>
        </w:rPr>
        <w:t xml:space="preserve">penguatan interaksi santri dengan kitab melalui struktur kelembagaan dan rutinitas belajar yang terarah</w:t>
      </w:r>
      <w:r>
        <w:rPr>
          <w:rFonts w:ascii="Times New Roman" w:cs="Times New Roman" w:eastAsia="Times New Roman" w:hAnsi="Times New Roman"/>
          <w:sz w:val="24"/>
          <w:szCs w:val="24"/>
        </w:rPr>
        <w:t xml:space="preserve">, disertai pendampingan ustaz, dukungan teman sebaya, forum keilmuan, dan konteks budaya pesantren. Pola ini konsisten teramati lintas sumber data — profil kelembagaan, observasi lapangan pada lima belas sesi (OBS-S1-01 s.d. OBS-S1-15), lima transkrip wawancara lintas jenjang informan, dan dokumentasi kegiatan (D-S1-01 s.d. D-S1-20) — sehingga memenuhi prinsip triangulasi sumber dan triangulasi teknik yang menjadi salah satu teknik keabsahan data penelitian ini.</w:t>
      </w:r>
    </w:p>
    <w:p>
      <w:pPr>
        <w:pStyle w:val="Heading1"/>
        <w:spacing w:after="240" w:before="480"/>
      </w:pPr>
      <w:r>
        <w:rPr>
          <w:rFonts w:ascii="Times New Roman" w:cs="Times New Roman" w:eastAsia="Times New Roman" w:hAnsi="Times New Roman"/>
          <w:b/>
          <w:bCs/>
          <w:sz w:val="32"/>
          <w:szCs w:val="32"/>
        </w:rPr>
        <w:t xml:space="preserve">D. Temuan Penelitian Situs 2: Pondok Pesantren Asy-Syafa'ah (Versi Diperluas)</w:t>
      </w:r>
    </w:p>
    <w:p>
      <w:pPr>
        <w:keepNext w:val="false"/>
        <w:spacing w:after="200" w:line="360"/>
        <w:jc w:val="both"/>
      </w:pPr>
      <w:r>
        <w:rPr>
          <w:rFonts w:ascii="Times New Roman" w:cs="Times New Roman" w:eastAsia="Times New Roman" w:hAnsi="Times New Roman"/>
          <w:sz w:val="24"/>
          <w:szCs w:val="24"/>
        </w:rPr>
        <w:t xml:space="preserve">Sebagaimana pada Bagian C, temuan Situs 2 dirumuskan sebagai abstraksi analitis dari paparan data pada Bagian B, dengan penautan eksplisit ke kode informan (PA/US/PG/SS/SJ/AL-S2), kode observasi, dan kode dokumentasi (D-S2-xx).</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b/>
          <w:bCs/>
          <w:sz w:val="24"/>
          <w:szCs w:val="24"/>
        </w:rPr>
        <w:t xml:space="preserve">Temuan 1.1 — Konfigurasi multidimensional dengan penekanan literasi.</w:t>
      </w:r>
      <w:r>
        <w:rPr>
          <w:rFonts w:ascii="Times New Roman" w:cs="Times New Roman" w:eastAsia="Times New Roman" w:hAnsi="Times New Roman"/>
          <w:sz w:val="24"/>
          <w:szCs w:val="24"/>
        </w:rPr>
        <w:t xml:space="preserve"> Strategi lingkungan pembelajaran Situs 2 merupakan konfigurasi antara lingkungan fisik (ruang pengajian dan akses kitab; D-S2-10), akademik (Zona Literasi Turats, pembinaan bertahap, Lomba Literasi Turats; D-S2-01 bagian J), sosial (dukungan teman dan ustaz; TR-PG-S2-03), dan religius (tradisi mengaji; D-S2-01 bagian K), dalam konteks budaya pesantren yang menempatkan literasi sebagai penekanan empiris utama.</w:t>
      </w:r>
    </w:p>
    <w:p>
      <w:pPr>
        <w:keepNext w:val="false"/>
        <w:spacing w:after="200" w:line="360"/>
        <w:jc w:val="both"/>
      </w:pPr>
      <w:r>
        <w:rPr>
          <w:rFonts w:ascii="Times New Roman" w:cs="Times New Roman" w:eastAsia="Times New Roman" w:hAnsi="Times New Roman"/>
          <w:b/>
          <w:bCs/>
          <w:sz w:val="24"/>
          <w:szCs w:val="24"/>
        </w:rPr>
        <w:t xml:space="preserve">Temuan 1.2 — Orientasi pada budaya literasi, adaptasi kemampuan, dan variasi pengalaman.</w:t>
      </w:r>
      <w:r>
        <w:rPr>
          <w:rFonts w:ascii="Times New Roman" w:cs="Times New Roman" w:eastAsia="Times New Roman" w:hAnsi="Times New Roman"/>
          <w:sz w:val="24"/>
          <w:szCs w:val="24"/>
        </w:rPr>
        <w:t xml:space="preserve"> Ketiga program eksplisit Situs 2 — Zona Literasi Turats, pembinaan membaca bertahap berdasarkan kemampuan, dan Lomba Literasi Turats — secara konsisten dirujuk oleh PA-S2-01, US-S2-02, dan SS-S2-04 sebagai strategi inti. Berbeda dengan Situs 1 yang menekankan pengawasan terjadwal, PA-S2-01 merumuskan strategi sebagai pembiasaan yang tidak menunggu jadwal pengajian formal: “santri diarahkan untuk tidak hanya belajar ketika ada pengajian, tetapi juga membaca dan mempelajari kitab di waktu yang lain” (TR-PA-S2-01).</w:t>
      </w:r>
    </w:p>
    <w:p>
      <w:pPr>
        <w:keepNext w:val="false"/>
        <w:spacing w:after="200" w:line="360"/>
        <w:jc w:val="both"/>
      </w:pPr>
      <w:r>
        <w:rPr>
          <w:rFonts w:ascii="Times New Roman" w:cs="Times New Roman" w:eastAsia="Times New Roman" w:hAnsi="Times New Roman"/>
          <w:b/>
          <w:bCs/>
          <w:sz w:val="24"/>
          <w:szCs w:val="24"/>
        </w:rPr>
        <w:t xml:space="preserve">Temuan 1.3 — Zona Literasi Turats sebagai perluasan ruang dan waktu belajar.</w:t>
      </w:r>
      <w:r>
        <w:rPr>
          <w:rFonts w:ascii="Times New Roman" w:cs="Times New Roman" w:eastAsia="Times New Roman" w:hAnsi="Times New Roman"/>
          <w:sz w:val="24"/>
          <w:szCs w:val="24"/>
        </w:rPr>
        <w:t xml:space="preserve"> Jadwal mingguan (D-S2, bagian G) menunjukkan bahwa Zona Literasi Turats berlangsung dua kali sehari (pagi dan malam) sepanjang minggu — pola yang jauh lebih terjadwal secara harian dibandingkan Belajar Malam Wajib pada Situs 1 yang berlangsung pada waktu tertentu. Observasi lapangan (Lembar Observasi B.5, PP Asy-Syafa'ah) mengonfirmasi bahwa “santri terlihat membaca atau membuka kembali kitab pada waktu luang, terutama ketika ada target/kegiatan literasi,” meskipun “aktivitas tidak sama pada semua santri” — catatan kehati-hatian yang mencegah generalisasi berlebihan.</w:t>
      </w:r>
    </w:p>
    <w:p>
      <w:pPr>
        <w:keepNext w:val="false"/>
        <w:spacing w:after="200" w:line="360"/>
        <w:jc w:val="both"/>
      </w:pPr>
      <w:r>
        <w:rPr>
          <w:rFonts w:ascii="Times New Roman" w:cs="Times New Roman" w:eastAsia="Times New Roman" w:hAnsi="Times New Roman"/>
          <w:b/>
          <w:bCs/>
          <w:sz w:val="24"/>
          <w:szCs w:val="24"/>
        </w:rPr>
        <w:t xml:space="preserve">Temuan 1.4 — Pembinaan bertahap sebagai respons eksplisit terhadap heterogenitas.</w:t>
      </w:r>
      <w:r>
        <w:rPr>
          <w:rFonts w:ascii="Times New Roman" w:cs="Times New Roman" w:eastAsia="Times New Roman" w:hAnsi="Times New Roman"/>
          <w:sz w:val="24"/>
          <w:szCs w:val="24"/>
        </w:rPr>
        <w:t xml:space="preserve"> Berbeda dari Situs 1 yang menyerahkan penyesuaian kemampuan kepada kebijaksanaan ustaz secara informal, Situs 2 melembagakan penyesuaian ini melalui pengelompokan berdasarkan kemampuan membaca. SS-S2-04 menilai pendekatan ini secara positif dengan menekankan aspek keadilan pedagogis: “yang masih belum lancar tidak langsung diberikan bacaan yang sulit” (TR-SS-S2-04), sedangkan US-S2-02 mengonfirmasi diferensiasi pendekatan antara santri junior dan senior (TR-US-S2-02).</w:t>
      </w:r>
    </w:p>
    <w:p>
      <w:pPr>
        <w:keepNext w:val="false"/>
        <w:spacing w:after="200" w:line="360"/>
        <w:jc w:val="both"/>
      </w:pPr>
      <w:r>
        <w:rPr>
          <w:rFonts w:ascii="Times New Roman" w:cs="Times New Roman" w:eastAsia="Times New Roman" w:hAnsi="Times New Roman"/>
          <w:b/>
          <w:bCs/>
          <w:sz w:val="24"/>
          <w:szCs w:val="24"/>
        </w:rPr>
        <w:t xml:space="preserve">Temuan 1.5 — Lomba Literasi Turats sebagai pengalaman kompetitif bagi sebagian santri.</w:t>
      </w:r>
      <w:r>
        <w:rPr>
          <w:rFonts w:ascii="Times New Roman" w:cs="Times New Roman" w:eastAsia="Times New Roman" w:hAnsi="Times New Roman"/>
          <w:sz w:val="24"/>
          <w:szCs w:val="24"/>
        </w:rPr>
        <w:t xml:space="preserve"> Data dokumentasi (D-S2-01 bagian J) mencatat riwayat prestasi kompetitif sejak tahun 2001, namun data wawancara maupun observasi tidak menunjukkan bahwa seluruh santri mengikuti lomba ini. Temuan ini secara eksplisit dibatasi cakupannya: Lomba Literasi Turats dipahami sebagai salah satu sumber variasi pengalaman keilmuan bagi sebagian santri, bukan mekanisme yang menjangkau seluruh populasi Situs 2.</w:t>
      </w:r>
    </w:p>
    <w:p>
      <w:pPr>
        <w:keepNext w:val="false"/>
        <w:spacing w:after="200" w:line="360"/>
        <w:jc w:val="both"/>
      </w:pPr>
      <w:r>
        <w:rPr>
          <w:rFonts w:ascii="Times New Roman" w:cs="Times New Roman" w:eastAsia="Times New Roman" w:hAnsi="Times New Roman"/>
          <w:b/>
          <w:bCs/>
          <w:sz w:val="24"/>
          <w:szCs w:val="24"/>
        </w:rPr>
        <w:t xml:space="preserve">Temuan 1.6 — Minat dibaca melalui perhatian, keterlibatan, dan proses pertumbuhan bertahap.</w:t>
      </w:r>
      <w:r>
        <w:rPr>
          <w:rFonts w:ascii="Times New Roman" w:cs="Times New Roman" w:eastAsia="Times New Roman" w:hAnsi="Times New Roman"/>
          <w:sz w:val="24"/>
          <w:szCs w:val="24"/>
        </w:rPr>
        <w:t xml:space="preserve"> US-S2-02 merumuskan pengamatan pedagogis yang relevan secara konseptual: minat pada sebagian santri “semakin tumbuh” seiring bertambahnya kemampuan membaca (TR-US-S2-02) — pengamatan yang konsisten dengan hubungan dinamis minat–praktik membaca–qira'ah yang dirumuskan pada Bagian F. Perspektif retrospektif AL-S2-06 turut memperkuat pola ini: ketertarikan yang pada awalnya rendah “lama-lama” terbentuk melalui pembiasaan lingkungan (TR-AL-S2-06).</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b/>
          <w:bCs/>
          <w:sz w:val="24"/>
          <w:szCs w:val="24"/>
        </w:rPr>
        <w:t xml:space="preserve">Faktor pendukung.</w:t>
      </w:r>
      <w:r>
        <w:rPr>
          <w:rFonts w:ascii="Times New Roman" w:cs="Times New Roman" w:eastAsia="Times New Roman" w:hAnsi="Times New Roman"/>
          <w:sz w:val="24"/>
          <w:szCs w:val="24"/>
        </w:rPr>
        <w:t xml:space="preserve"> PA-S2-01 merumuskan tiga lapis dukungan yang paralel dengan Situs 1 namun dengan penekanan berbeda: lingkungan pesantren, bimbingan ustaz, dan kemauan santri sendiri (TR-PA-S2-01). Dukungan kelembagaan pada Situs 2 tampak lebih eksplisit melalui program literasi dan pembinaan bertahap (D-S2-01 bagian J) dibandingkan Situs 1 yang menekankan jadwal dan pengawasan.</w:t>
      </w:r>
    </w:p>
    <w:p>
      <w:pPr>
        <w:keepNext w:val="false"/>
        <w:spacing w:after="200" w:line="360"/>
        <w:jc w:val="both"/>
      </w:pPr>
      <w:r>
        <w:rPr>
          <w:rFonts w:ascii="Times New Roman" w:cs="Times New Roman" w:eastAsia="Times New Roman" w:hAnsi="Times New Roman"/>
          <w:b/>
          <w:bCs/>
          <w:sz w:val="24"/>
          <w:szCs w:val="24"/>
        </w:rPr>
        <w:t xml:space="preserve">Faktor penghambat.</w:t>
      </w:r>
      <w:r>
        <w:rPr>
          <w:rFonts w:ascii="Times New Roman" w:cs="Times New Roman" w:eastAsia="Times New Roman" w:hAnsi="Times New Roman"/>
          <w:sz w:val="24"/>
          <w:szCs w:val="24"/>
        </w:rPr>
        <w:t xml:space="preserve"> Dua temuan khas Situs 2 yang tidak digeneralisasikan ke Situs 1 adalah kesulitan teks — digambarkan konkret oleh SS-S2-04 sebagai kesulitan pada “kalimat yang panjang atau kata-kata yang belum pernah dipelajari” serta keterkaitannya dengan penguasaan nahwu-sharaf (TR-SS-S2-04) — dan aktivitas lain di luar pembelajaran kitab yang dikonfirmasi PG-S2-03 sebagai kendala kedisiplinan (TR-PG-S2-03). Heterogenitas kemampuan dan potensi distraksi teknologi tetap konvergen dengan Situs 1, sebagaimana disampaikan PA-S2-01 (TR-PA-S2-01).</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Zona Literasi Turats, pembinaan bertahap, bimbingan ustaz, dan peer learning menyediakan kesempatan santri berinteraksi dengan kitab dalam konteks yang lebih luas daripada pembelajaran formal semata. Perkembangan maharah qira'ah tergambar melalui empat aspek yang konsisten dengan Lembar Observasi F (Situs 2): kemampuan membaca teks tanpa harakat (berkaitan dengan lama interaksi dengan kitab), penerapan nahwu-sharaf (kesalahan dominan pada santri awal, sejalan dengan keluhan SS-S2-04 mengenai penguasaan kaidah bahasa), pemahaman/pemaknaan teks (digambarkan langsung oleh SJ-S2-05 sebagai kesulitan awal pada kosakata dan struktur kalimat panjang, TR-SJ-S2-05), dan perkembangan kemampuan membaca secara kualitatif (dirangkum US-S2-02 sebagai proses yang bergantung pada keteraturan membaca dan kepercayaan diri, TR-US-S2-02).</w:t>
      </w:r>
    </w:p>
    <w:p>
      <w:pPr>
        <w:pStyle w:val="Heading2"/>
        <w:spacing w:after="200" w:before="360"/>
      </w:pPr>
      <w:r>
        <w:rPr>
          <w:rFonts w:ascii="Times New Roman" w:cs="Times New Roman" w:eastAsia="Times New Roman" w:hAnsi="Times New Roman"/>
          <w:b/>
          <w:bCs/>
          <w:sz w:val="28"/>
          <w:szCs w:val="28"/>
        </w:rPr>
        <w:t xml:space="preserve">4. Pola Utama Situs 2</w:t>
      </w:r>
    </w:p>
    <w:p>
      <w:pPr>
        <w:keepNext w:val="false"/>
        <w:spacing w:after="200" w:line="360"/>
        <w:jc w:val="both"/>
      </w:pPr>
      <w:r>
        <w:rPr>
          <w:rFonts w:ascii="Times New Roman" w:cs="Times New Roman" w:eastAsia="Times New Roman" w:hAnsi="Times New Roman"/>
          <w:sz w:val="24"/>
          <w:szCs w:val="24"/>
        </w:rPr>
        <w:t xml:space="preserve">Pola utama Situs 2 adalah </w:t>
      </w:r>
      <w:r>
        <w:rPr>
          <w:rFonts w:ascii="Times New Roman" w:cs="Times New Roman" w:eastAsia="Times New Roman" w:hAnsi="Times New Roman"/>
          <w:b/>
          <w:bCs/>
          <w:sz w:val="24"/>
          <w:szCs w:val="24"/>
        </w:rPr>
        <w:t xml:space="preserve">perluasan interaksi santri dengan kitab melalui budaya literasi, adaptasi kemampuan, variasi kegiatan, dan pendampingan</w:t>
      </w:r>
      <w:r>
        <w:rPr>
          <w:rFonts w:ascii="Times New Roman" w:cs="Times New Roman" w:eastAsia="Times New Roman" w:hAnsi="Times New Roman"/>
          <w:sz w:val="24"/>
          <w:szCs w:val="24"/>
        </w:rPr>
        <w:t xml:space="preserve">, dalam konteks lingkungan pesantren yang menghubungkan dimensi akademik, sosial, religius, dan fisik. Konsistensi pola ini terkonfirmasi lintas enam informan (PA, US, PG, SS, SJ, dan — secara khas hanya pada Situs 2 — AL sebagai alumni), catatan lapangan (CL-02/S2), serta dokumentasi kegiatan literasi dan kompetisi (D-S2-01 bagian J).</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BAB IV — Draf Perluasan (Temuan C–D)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2026-09-08T21:16:25.665Z</dcterms:created>
  <dcterms:modified xsi:type="dcterms:W3CDTF">2026-09-08T21:16:25.686Z</dcterms:modified>
</cp:coreProperties>
</file>

<file path=docProps/custom.xml><?xml version="1.0" encoding="utf-8"?>
<Properties xmlns="http://schemas.openxmlformats.org/officeDocument/2006/custom-properties" xmlns:vt="http://schemas.openxmlformats.org/officeDocument/2006/docPropsVTypes"/>
</file>