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BAB IV</w:t>
      </w:r>
    </w:p>
    <w:p>
      <w:pPr>
        <w:spacing w:after="600"/>
        <w:jc w:val="center"/>
      </w:pPr>
      <w:r>
        <w:rPr>
          <w:rFonts w:ascii="Times New Roman" w:cs="Times New Roman" w:eastAsia="Times New Roman" w:hAnsi="Times New Roman"/>
          <w:b/>
          <w:bCs/>
          <w:sz w:val="32"/>
          <w:szCs w:val="32"/>
        </w:rPr>
        <w:t xml:space="preserve">PAPARAN DATA DAN TEMUAN PENELITIAN</w:t>
      </w:r>
    </w:p>
    <w:p>
      <w:pPr>
        <w:pStyle w:val="Heading1"/>
        <w:spacing w:after="240" w:before="480"/>
      </w:pPr>
      <w:r>
        <w:rPr>
          <w:rFonts w:ascii="Times New Roman" w:cs="Times New Roman" w:eastAsia="Times New Roman" w:hAnsi="Times New Roman"/>
          <w:b/>
          <w:bCs/>
          <w:sz w:val="32"/>
          <w:szCs w:val="32"/>
        </w:rPr>
        <w:t xml:space="preserve">A. Paparan Data Situs 1: Pondok Pesantren An-Najiyah II Bahrul Ulum Jombang</w:t>
      </w:r>
    </w:p>
    <w:p>
      <w:pPr>
        <w:pStyle w:val="Heading2"/>
        <w:spacing w:after="200" w:before="360"/>
      </w:pPr>
      <w:r>
        <w:rPr>
          <w:rFonts w:ascii="Times New Roman" w:cs="Times New Roman" w:eastAsia="Times New Roman" w:hAnsi="Times New Roman"/>
          <w:b/>
          <w:bCs/>
          <w:sz w:val="28"/>
          <w:szCs w:val="28"/>
        </w:rPr>
        <w:t xml:space="preserve">1. Gambaran Umum Pondok Pesantren An-Najiyah II</w:t>
      </w:r>
    </w:p>
    <w:p>
      <w:pPr>
        <w:keepNext w:val="false"/>
        <w:spacing w:after="200" w:line="360"/>
        <w:jc w:val="both"/>
      </w:pPr>
      <w:r>
        <w:rPr>
          <w:rFonts w:ascii="Times New Roman" w:cs="Times New Roman" w:eastAsia="Times New Roman" w:hAnsi="Times New Roman"/>
          <w:sz w:val="24"/>
          <w:szCs w:val="24"/>
        </w:rPr>
        <w:t xml:space="preserve">Pondok Pesantren An-Najiyah II Bahrul Ulum berlokasi di Jombang, Jawa Timur, dan berdiri pada tahun 2005. Pesantren ini diasuh oleh KH Salman Alfarisi, Lc., M.H., dengan jumlah santri tercatat sebanyak 309 orang berdasarkan data profil yang tersedia. An-Najiyah II menerapkan karakter pendidikan salaf dengan jenjang pembelajaran yang terbagi dalam jalur Ibtidaiyah, Tsanawiyah, dan Aliyah.</w:t>
      </w:r>
    </w:p>
    <w:p>
      <w:pPr>
        <w:keepNext w:val="false"/>
        <w:spacing w:after="200" w:line="360"/>
        <w:jc w:val="both"/>
      </w:pPr>
      <w:r>
        <w:rPr>
          <w:rFonts w:ascii="Times New Roman" w:cs="Times New Roman" w:eastAsia="Times New Roman" w:hAnsi="Times New Roman"/>
          <w:sz w:val="24"/>
          <w:szCs w:val="24"/>
        </w:rPr>
        <w:t xml:space="preserve">Pembelajaran kitab turats menjadi bagian penting dari sistem pendidikan di An-Najiyah II. Kitab yang tercatat dipelajari antara lain Jurumiyah, Imrithi, Alfiyah, Qowaidu Sharfiyah, Fathul Qarib, dan Fathul Mu'in. Kitab-kitab tersebut digunakan sesuai jenjang dan kebutuhan pembelajaran santri.</w:t>
      </w:r>
    </w:p>
    <w:p>
      <w:pPr>
        <w:keepNext w:val="false"/>
        <w:spacing w:after="200" w:line="360"/>
        <w:jc w:val="both"/>
      </w:pPr>
      <w:r>
        <w:rPr>
          <w:rFonts w:ascii="Times New Roman" w:cs="Times New Roman" w:eastAsia="Times New Roman" w:hAnsi="Times New Roman"/>
          <w:sz w:val="24"/>
          <w:szCs w:val="24"/>
        </w:rPr>
        <w:t xml:space="preserve">An-Najiyah II menyelenggarakan sejumlah program yang berkaitan dengan pembelajaran kitab turats, yaitu Target Bacaan Mingguan, Forum Mudzakarah Ilmiyyah yang dilaksanakan dua kali dalam satu minggu, dan Belajar Malam Wajib Berbasis Pendampingan/Tawjih—selanjutnya disebut Belajar Malam Wajib—yang berjalan berdampingan dengan pembelajaran kitab melalui sorogan, bandongan/wetonan, dan pembacaan terbimbing.</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Hasil observasi menunjukkan bahwa ruang belajar atau ruang pengajian di An-Najiyah II tersedia dan digunakan secara rutin untuk pembelajaran kitab turats. Kondisi ruang relatif kondusif untuk kegiatan pembelajaran dengan pembagian ruang yang disesuaikan dengan kelas atau jenjang diniyah santri. Pembelajaran berlangsung dengan sistem duduk yang menyesuaikan kegiatan pengajian dan tidak seluruh ruang menggunakan bangku. Papan tulis serta perlengkapan dasar tersedia, sementara penerangan mendukung pelaksanaan kegiatan belajar malam. Ruang belajar teramati relatif bersih dan tertata.</w:t>
      </w:r>
    </w:p>
    <w:p>
      <w:pPr>
        <w:keepNext w:val="false"/>
        <w:spacing w:after="200" w:line="360"/>
        <w:jc w:val="both"/>
      </w:pPr>
      <w:r>
        <w:rPr>
          <w:rFonts w:ascii="Times New Roman" w:cs="Times New Roman" w:eastAsia="Times New Roman" w:hAnsi="Times New Roman"/>
          <w:sz w:val="24"/>
          <w:szCs w:val="24"/>
        </w:rPr>
        <w:t xml:space="preserve">Mushala berada dalam kondisi baik dan digunakan untuk ibadah, kegiatan keagamaan, serta pembelajaran tertentu. Asrama menjadi ruang kehidupan sehari-hari santri sekaligus bagian dari konteks pendidikan pesantren. Pada pengajian malam, santri diamati membawa kitab masing-masing dan mengikuti pembelajaran di ruang pengajian.</w:t>
      </w:r>
    </w:p>
    <w:p>
      <w:pPr>
        <w:keepNext w:val="false"/>
        <w:spacing w:after="200" w:line="360"/>
        <w:jc w:val="both"/>
      </w:pPr>
      <w:r>
        <w:rPr>
          <w:rFonts w:ascii="Times New Roman" w:cs="Times New Roman" w:eastAsia="Times New Roman" w:hAnsi="Times New Roman"/>
          <w:sz w:val="24"/>
          <w:szCs w:val="24"/>
        </w:rPr>
        <w:t xml:space="preserve">Data tersebut menunjukkan bahwa lingkungan fisik menyediakan ruang dan fasilitas dasar yang memungkinkan pembelajaran kitab berlangsung secara rutin, tanpa dimaknai bahwa ketersediaan fasilitas tersebut dengan sendirinya menyebabkan peningkatan minat belajar santri.</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Pembelajaran kitab pada An-Najiyah II berlangsung melalui kombinasi pengajian kitab terjadwal, sorogan, bandongan/wetonan, pembacaan terbimbing, musyawarah atau kegiatan keilmuan, belajar mandiri, target bacaan, dan belajar malam.</w:t>
      </w:r>
    </w:p>
    <w:p>
      <w:pPr>
        <w:keepNext w:val="false"/>
        <w:spacing w:after="200" w:line="360"/>
        <w:jc w:val="both"/>
      </w:pPr>
      <w:r>
        <w:rPr>
          <w:rFonts w:ascii="Times New Roman" w:cs="Times New Roman" w:eastAsia="Times New Roman" w:hAnsi="Times New Roman"/>
          <w:sz w:val="24"/>
          <w:szCs w:val="24"/>
        </w:rPr>
        <w:t xml:space="preserve">Target Bacaan Mingguan memberi arah dan keteraturan kepada santri dalam membaca kitab. Program ini menjadi salah satu bentuk pembiasaan membaca dan pengaturan aktivitas belajar di luar pengajian utama. Pengurus terlibat dalam pengaturan jadwal kegiatan termasuk Target Bacaan Mingguan, sejalan dengan perannya dalam menjaga kedisiplinan dan koordinasi dengan ustaz.</w:t>
      </w:r>
    </w:p>
    <w:p>
      <w:pPr>
        <w:keepNext w:val="false"/>
        <w:spacing w:after="200" w:line="360"/>
        <w:jc w:val="both"/>
      </w:pPr>
      <w:r>
        <w:rPr>
          <w:rFonts w:ascii="Times New Roman" w:cs="Times New Roman" w:eastAsia="Times New Roman" w:hAnsi="Times New Roman"/>
          <w:sz w:val="24"/>
          <w:szCs w:val="24"/>
        </w:rPr>
        <w:t xml:space="preserve">Forum Mudzakarah Ilmiyyah dilaksanakan dua kali dalam satu minggu sebagai ruang diskusi dan pengkajian bersama materi kitab. Forum digunakan untuk membahas materi, memperdalam pemahaman, berinteraksi dengan teman dalam kegiatan keilmuan, dan mendiskusikan kesulitan bacaan atau materi yang dihadapi.</w:t>
      </w:r>
    </w:p>
    <w:p>
      <w:pPr>
        <w:keepNext w:val="false"/>
        <w:spacing w:after="200" w:line="360"/>
        <w:jc w:val="both"/>
      </w:pPr>
      <w:r>
        <w:rPr>
          <w:rFonts w:ascii="Times New Roman" w:cs="Times New Roman" w:eastAsia="Times New Roman" w:hAnsi="Times New Roman"/>
          <w:sz w:val="24"/>
          <w:szCs w:val="24"/>
        </w:rPr>
        <w:t xml:space="preserve">Belajar Malam Wajib menyediakan waktu khusus bagi santri untuk belajar, membaca atau mengulang materi kitab, disertai bentuk pengawasan dan pendampingan. Dengan demikian, pembelajaran kitab tidak hanya berlangsung pada pengajian utama.</w:t>
      </w:r>
    </w:p>
    <w:p>
      <w:pPr>
        <w:keepNext w:val="false"/>
        <w:spacing w:after="200" w:line="360"/>
        <w:jc w:val="both"/>
      </w:pPr>
      <w:r>
        <w:rPr>
          <w:rFonts w:ascii="Times New Roman" w:cs="Times New Roman" w:eastAsia="Times New Roman" w:hAnsi="Times New Roman"/>
          <w:sz w:val="24"/>
          <w:szCs w:val="24"/>
        </w:rPr>
        <w:t xml:space="preserve">Dalam sorogan, santri membaca kitab secara bergiliran di hadapan ustaz dan memperoleh koreksi bacaan. Pada bandongan/wetonan dan pembacaan terbimbing, ustaz membaca atau menjelaskan bagian kitab sementara santri mengikuti bacaan pada kitab masing-masing. Beberapa santri memperoleh kesempatan membaca kembali dan santri yang mengalami kesulitan mendapatkan koreksi.</w:t>
      </w:r>
    </w:p>
    <w:p>
      <w:pPr>
        <w:keepNext w:val="false"/>
        <w:spacing w:after="200" w:line="360"/>
        <w:jc w:val="both"/>
      </w:pPr>
      <w:r>
        <w:rPr>
          <w:rFonts w:ascii="Times New Roman" w:cs="Times New Roman" w:eastAsia="Times New Roman" w:hAnsi="Times New Roman"/>
          <w:sz w:val="24"/>
          <w:szCs w:val="24"/>
        </w:rPr>
        <w:t xml:space="preserve">Data observasi juga menunjukkan bahwa sebagian santri membaca atau mengulang materi kitab di luar waktu pengajian formal, terutama ketika terdapat tugas dan Target Bacaan Mingguan.</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Interaksi ustaz-santri berlangsung melalui penjelasan, koreksi bacaan, bimbingan, diskusi, dan pemberian dorongan. Santri memperoleh kesempatan bertanya ketika mengalami kesulitan.</w:t>
      </w:r>
    </w:p>
    <w:p>
      <w:pPr>
        <w:keepNext w:val="false"/>
        <w:spacing w:after="200" w:line="360"/>
        <w:jc w:val="both"/>
      </w:pPr>
      <w:r>
        <w:rPr>
          <w:rFonts w:ascii="Times New Roman" w:cs="Times New Roman" w:eastAsia="Times New Roman" w:hAnsi="Times New Roman"/>
          <w:sz w:val="24"/>
          <w:szCs w:val="24"/>
        </w:rPr>
        <w:t xml:space="preserve">Selain interaksi dengan ustaz, terdapat pula dukungan antarsantri. Santri yang lebih senior membantu santri yang lebih junior ketika menghadapi kesulitan membaca atau memahami kitab. Kegiatan musyawarah dan belajar bersama menyediakan ruang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w:t>
      </w:r>
    </w:p>
    <w:p>
      <w:pPr>
        <w:keepNext w:val="false"/>
        <w:spacing w:after="200" w:line="360"/>
        <w:jc w:val="both"/>
      </w:pPr>
      <w:r>
        <w:rPr>
          <w:rFonts w:ascii="Times New Roman" w:cs="Times New Roman" w:eastAsia="Times New Roman" w:hAnsi="Times New Roman"/>
          <w:sz w:val="24"/>
          <w:szCs w:val="24"/>
        </w:rPr>
        <w:t xml:space="preserve">Santri juga menunjukkan penghormatan kepada ustaz dalam kegiatan pembelajaran. Data tersebut dipahami sebagai gambaran pola interaksi yang teramati dan tidak dimaksudkan sebagai klaim bahwa seluruh hubungan sosial di pesantren selalu berlangsung tanpa masalah.</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Kegiatan keagamaan berlangsung rutin dalam kehidupan pesantren dan suasana religius menyertai pembelajaran kitab. Pembelajaran kitab menjadi bagian dari tradisi keilmuan pesantren, disertai penghormatan dan adab kepada ustaz dan kitab.</w:t>
      </w:r>
    </w:p>
    <w:p>
      <w:pPr>
        <w:keepNext w:val="false"/>
        <w:spacing w:after="200" w:line="360"/>
        <w:jc w:val="both"/>
      </w:pPr>
      <w:r>
        <w:rPr>
          <w:rFonts w:ascii="Times New Roman" w:cs="Times New Roman" w:eastAsia="Times New Roman" w:hAnsi="Times New Roman"/>
          <w:sz w:val="24"/>
          <w:szCs w:val="24"/>
        </w:rPr>
        <w:t xml:space="preserve">Kegiatan belajar kitab berlangsung dalam lingkungan yang menempatkan pencarian ilmu sebagai bagian dari kehidupan keagamaan santri. Kondisi tersebut dipahami sebagai konteks nilai yang menyertai proses pembelajaran, bukan bukti bahwa aktivitas religius secara otomatis meningkatkan minat belajar.</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Kebiasaan, kedisiplinan, dan tradisi keilmuan hadir secara lintas dimensi pada Situs 1. Target Bacaan Mingguan dan Belajar Malam Wajib berada pada lingkungan akademik sekaligus mencerminkan pembiasaan dan kedisiplinan. Adab kepada ustaz berkaitan dengan lingkungan sosial sekaligus religius. Suasana pengajian yang tertib juga mencerminkan tradisi keilmuan pesantren.</w:t>
      </w:r>
    </w:p>
    <w:p>
      <w:pPr>
        <w:keepNext w:val="false"/>
        <w:spacing w:after="200" w:line="360"/>
        <w:jc w:val="both"/>
      </w:pPr>
      <w:r>
        <w:rPr>
          <w:rFonts w:ascii="Times New Roman" w:cs="Times New Roman" w:eastAsia="Times New Roman" w:hAnsi="Times New Roman"/>
          <w:sz w:val="24"/>
          <w:szCs w:val="24"/>
        </w:rPr>
        <w:t xml:space="preserve">Budaya pesantren pada Situs 1 karena itu dipahami sebagai konteks yang menghubungkan lingkungan fisik, akademik, sosial, dan religius, bukan sebagai dimensi kelima yang berdiri sendiri.</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1</w:t>
      </w:r>
    </w:p>
    <w:p>
      <w:pPr>
        <w:keepNext w:val="false"/>
        <w:spacing w:after="200" w:line="360"/>
        <w:jc w:val="both"/>
      </w:pPr>
      <w:r>
        <w:rPr>
          <w:rFonts w:ascii="Times New Roman" w:cs="Times New Roman" w:eastAsia="Times New Roman" w:hAnsi="Times New Roman"/>
          <w:sz w:val="24"/>
          <w:szCs w:val="24"/>
        </w:rPr>
        <w:t xml:space="preserve">Data menunjukkan bentuk-bentuk yang relevan untuk membaca minat santri terhadap kitab turats, antara lain perhatian ketika ustaz menjelaskan, keterlibatan dalam Target Bacaan Mingguan, kegiatan membaca di luar pembelajaran formal, aktivitas dalam Forum Mudzakarah Ilmiyyah, kesungguhan mengikuti proses belajar, dan inisiatif membaca pada sebagian santri.</w:t>
      </w:r>
    </w:p>
    <w:p>
      <w:pPr>
        <w:keepNext w:val="false"/>
        <w:spacing w:after="200" w:line="360"/>
        <w:jc w:val="both"/>
      </w:pPr>
      <w:r>
        <w:rPr>
          <w:rFonts w:ascii="Times New Roman" w:cs="Times New Roman" w:eastAsia="Times New Roman" w:hAnsi="Times New Roman"/>
          <w:sz w:val="24"/>
          <w:szCs w:val="24"/>
        </w:rPr>
        <w:t xml:space="preserve">Sebagian santri aktif bertanya atau berdiskusi, sedangkan sebagian lain lebih banyak menyimak. Beberapa santri membaca atau mengulang kitab di luar waktu pengajian. Santri senior menggambarkan bahwa ketertarikan dan kemampuan membaca kitab yang dialaminya setelah menjalani proses pendidikan di pesantren berbeda dibandingkan pengalaman sebelum memasuki pesantren.</w:t>
      </w:r>
    </w:p>
    <w:p>
      <w:pPr>
        <w:keepNext w:val="false"/>
        <w:spacing w:after="200" w:line="360"/>
        <w:jc w:val="both"/>
      </w:pPr>
      <w:r>
        <w:rPr>
          <w:rFonts w:ascii="Times New Roman" w:cs="Times New Roman" w:eastAsia="Times New Roman" w:hAnsi="Times New Roman"/>
          <w:sz w:val="24"/>
          <w:szCs w:val="24"/>
        </w:rPr>
        <w:t xml:space="preserve">Kehadiran dalam kegiatan tidak digunakan secara tunggal sebagai bukti minat karena sebagian kegiatan merupakan kewajiban pesantren. Kehadiran dibaca bersama perhatian, keterlibatan, konsistensi, inisiatif, dan keterangan informan.</w:t>
      </w:r>
    </w:p>
    <w:p>
      <w:pPr>
        <w:keepNext w:val="false"/>
        <w:spacing w:after="200" w:line="360"/>
        <w:jc w:val="both"/>
      </w:pPr>
      <w:r>
        <w:rPr>
          <w:rFonts w:ascii="Times New Roman" w:cs="Times New Roman" w:eastAsia="Times New Roman" w:hAnsi="Times New Roman"/>
          <w:sz w:val="24"/>
          <w:szCs w:val="24"/>
        </w:rPr>
        <w:t xml:space="preserve">Bentuk-bentuk tersebut tidak digeneralisasikan kepada seluruh santri karena data menunjukkan adanya variasi antarindividu. Minat juga tidak diukur menggunakan skor.</w:t>
      </w:r>
    </w:p>
    <w:p>
      <w:pPr>
        <w:pStyle w:val="Heading2"/>
        <w:spacing w:after="200" w:before="360"/>
      </w:pPr>
      <w:r>
        <w:rPr>
          <w:rFonts w:ascii="Times New Roman" w:cs="Times New Roman" w:eastAsia="Times New Roman" w:hAnsi="Times New Roman"/>
          <w:b/>
          <w:bCs/>
          <w:sz w:val="28"/>
          <w:szCs w:val="28"/>
        </w:rPr>
        <w:t xml:space="preserve">4. Faktor Pendukung dan Penghambat pada Situs 1</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Faktor pendukung yang tergambar dari data meliputi dukungan dan arah pengasuh terhadap pembelajaran kitab, kompetensi dan keteladanan ustaz, dukungan kelembagaan melalui program yang terjadwal, dukungan teman sebaya, serta kemauan personal sebagian santri untuk memahami kitab dan meningkatkan kemampuan membaca.</w:t>
      </w:r>
    </w:p>
    <w:p>
      <w:pPr>
        <w:keepNext w:val="false"/>
        <w:spacing w:after="200" w:line="360"/>
        <w:jc w:val="both"/>
      </w:pPr>
      <w:r>
        <w:rPr>
          <w:rFonts w:ascii="Times New Roman" w:cs="Times New Roman" w:eastAsia="Times New Roman" w:hAnsi="Times New Roman"/>
          <w:sz w:val="24"/>
          <w:szCs w:val="24"/>
        </w:rPr>
        <w:t xml:space="preserve">Dukungan kelembagaan tampak melalui Target Bacaan Mingguan, Forum Mudzakarah Ilmiyyah, dan Belajar Malam Wajib. Ustaz menjelaskan materi, mengoreksi bacaan, memberikan bimbingan, dan menjadi rujukan keilmuan. Teman sebaya juga memberikan bantuan dalam membaca dan memahami kitab.</w:t>
      </w:r>
    </w:p>
    <w:p>
      <w:pPr>
        <w:keepNext w:val="false"/>
        <w:spacing w:after="200" w:line="360"/>
        <w:jc w:val="both"/>
      </w:pPr>
      <w:r>
        <w:rPr>
          <w:rFonts w:ascii="Times New Roman" w:cs="Times New Roman" w:eastAsia="Times New Roman" w:hAnsi="Times New Roman"/>
          <w:sz w:val="24"/>
          <w:szCs w:val="24"/>
        </w:rPr>
        <w:t xml:space="preserve">Faktor-faktor tersebut tidak diasumsikan mempunyai bobot yang sama pada setiap santri atau setiap kegiatan.</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Faktor penghambat yang ditemukan meliputi heterogenitas kemampuan awal membaca kitab, keterbatasan waktu karena padatnya kegiatan pesantren, serta kelelahan atau kejenuhan pada sebagian santri.</w:t>
      </w:r>
    </w:p>
    <w:p>
      <w:pPr>
        <w:keepNext w:val="false"/>
        <w:spacing w:after="200" w:line="360"/>
        <w:jc w:val="both"/>
      </w:pPr>
      <w:r>
        <w:rPr>
          <w:rFonts w:ascii="Times New Roman" w:cs="Times New Roman" w:eastAsia="Times New Roman" w:hAnsi="Times New Roman"/>
          <w:sz w:val="24"/>
          <w:szCs w:val="24"/>
        </w:rPr>
        <w:t xml:space="preserve">Teknologi atau gadget muncul dalam data sebagai potensi distraksi pada kondisi tertentu, tanpa dimaknai bahwa penggunaan gadget merupakan hambatan universal atau bahwa seluruh santri memiliki akses penggunaan yang sama.</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1</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Target bacaan, jadwal yang terstruktur, Forum Mudzakarah Ilmiyyah, Belajar Malam Wajib, pendampingan ustaz, dan interaksi teman sebaya menyediakan berbagai kesempatan santri untuk berinteraksi dengan kitab.</w:t>
      </w:r>
    </w:p>
    <w:p>
      <w:pPr>
        <w:keepNext w:val="false"/>
        <w:spacing w:after="200" w:line="360"/>
        <w:jc w:val="both"/>
      </w:pPr>
      <w:r>
        <w:rPr>
          <w:rFonts w:ascii="Times New Roman" w:cs="Times New Roman" w:eastAsia="Times New Roman" w:hAnsi="Times New Roman"/>
          <w:sz w:val="24"/>
          <w:szCs w:val="24"/>
        </w:rPr>
        <w:t xml:space="preserve">Data menunjukkan perhatian, keterlibatan, membaca secara mandiri, diskusi, konsistensi mengikuti kegiatan, dan bentuk inisiatif pada sebagian santri. Kondisi tersebut dipahami berkaitan dengan minat belajar, tetapi tidak digunakan sebagai bukti hubungan sebab-akibat.</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Kemampuan santri berbeda menurut jenjang dan pengalaman. Santri senior teramati lebih lancar dibanding sebagian santri junior. Santri dilatih membaca teks tanpa harakat melalui kegiatan pembelajaran dan latihan.</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Pembelajaran kitab melatih santri memperhatikan kedudukan kata, struktur kalimat, serta penerapan kaidah nahwu-sharaf ketika membaca. Penelitian tidak menggunakan tes formal i'rab.</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Santri diarahkan mengikuti penjelasan ustaz, bertanya mengenai bagian yang sulit, mendiskusikan materi, dan memahami atau memaknai isi teks sesuai kemampuan.</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Data menggambarkan perkembangan secara kualitatif melalui latihan rutin, sorogan, target bacaan, pembiasaan, bimbingan, koreksi, dan pengalaman berulang dengan kitab. Perbedaan kemampuan santri senior dan junior memberi indikasi perkembangan berdasarkan pengalaman belajar, tetapi tidak membuktikan efek kausal dari satu program tertentu.</w:t>
      </w:r>
    </w:p>
    <w:p>
      <w:pPr>
        <w:pStyle w:val="Heading1"/>
        <w:spacing w:after="240" w:before="480"/>
      </w:pPr>
      <w:r>
        <w:rPr>
          <w:rFonts w:ascii="Times New Roman" w:cs="Times New Roman" w:eastAsia="Times New Roman" w:hAnsi="Times New Roman"/>
          <w:b/>
          <w:bCs/>
          <w:sz w:val="32"/>
          <w:szCs w:val="32"/>
        </w:rPr>
        <w:t xml:space="preserve">B. Paparan Data Situs 2: Pondok Pesantren Asy-Syafa'ah Karawang</w:t>
      </w:r>
    </w:p>
    <w:p>
      <w:pPr>
        <w:pStyle w:val="Heading2"/>
        <w:spacing w:after="200" w:before="360"/>
      </w:pPr>
      <w:r>
        <w:rPr>
          <w:rFonts w:ascii="Times New Roman" w:cs="Times New Roman" w:eastAsia="Times New Roman" w:hAnsi="Times New Roman"/>
          <w:b/>
          <w:bCs/>
          <w:sz w:val="28"/>
          <w:szCs w:val="28"/>
        </w:rPr>
        <w:t xml:space="preserve">1. Gambaran Umum Pondok Pesantren Asy-Syafa'ah</w:t>
      </w:r>
    </w:p>
    <w:p>
      <w:pPr>
        <w:keepNext w:val="false"/>
        <w:spacing w:after="200" w:line="360"/>
        <w:jc w:val="both"/>
      </w:pPr>
      <w:r>
        <w:rPr>
          <w:rFonts w:ascii="Times New Roman" w:cs="Times New Roman" w:eastAsia="Times New Roman" w:hAnsi="Times New Roman"/>
          <w:sz w:val="24"/>
          <w:szCs w:val="24"/>
        </w:rPr>
        <w:t xml:space="preserve">Pondok Pesantren Asy-Syafa'ah berada di Karawang, Jawa Barat, dan berdiri sejak tahun 1982. Berdasarkan data profil yang tersedia, jumlah santri tercatat sebanyak 237 orang. Pesantren mempertahankan tradisi pembelajaran kitab turats dalam sistem pendidikannya dan menyelenggarakan pembelajaran sesuai jenjang serta kemampuan santri.</w:t>
      </w:r>
    </w:p>
    <w:p>
      <w:pPr>
        <w:keepNext w:val="false"/>
        <w:spacing w:after="200" w:line="360"/>
        <w:jc w:val="both"/>
      </w:pPr>
      <w:r>
        <w:rPr>
          <w:rFonts w:ascii="Times New Roman" w:cs="Times New Roman" w:eastAsia="Times New Roman" w:hAnsi="Times New Roman"/>
          <w:sz w:val="24"/>
          <w:szCs w:val="24"/>
        </w:rPr>
        <w:t xml:space="preserve">Kitab yang tercatat dipelajari antara lain Fathul Qarib, Fathul Mu'in, dan Alfiyah Ibnu Malik.</w:t>
      </w:r>
    </w:p>
    <w:p>
      <w:pPr>
        <w:keepNext w:val="false"/>
        <w:spacing w:after="200" w:line="360"/>
        <w:jc w:val="both"/>
      </w:pPr>
      <w:r>
        <w:rPr>
          <w:rFonts w:ascii="Times New Roman" w:cs="Times New Roman" w:eastAsia="Times New Roman" w:hAnsi="Times New Roman"/>
          <w:sz w:val="24"/>
          <w:szCs w:val="24"/>
        </w:rPr>
        <w:t xml:space="preserve">Pola strategi lingkungan pembelajaran yang menonjol pada Situs 2 adalah Zona Literasi Turats, pembinaan membaca secara bertahap berdasarkan kemampuan santri, dan Lomba Literasi Turats.</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Ruang pembelajaran dan pengajian digunakan secara rutin dan kitab turats menjadi sumber penting pembelajaran. Santri membawa dan menggunakan kitab selama kegiatan belajar. Lingkungan pesantren juga menyediakan ruang yang memungkinkan kegiatan membaca di luar pengajian formal.</w:t>
      </w:r>
    </w:p>
    <w:p>
      <w:pPr>
        <w:keepNext w:val="false"/>
        <w:spacing w:after="200" w:line="360"/>
        <w:jc w:val="both"/>
      </w:pPr>
      <w:r>
        <w:rPr>
          <w:rFonts w:ascii="Times New Roman" w:cs="Times New Roman" w:eastAsia="Times New Roman" w:hAnsi="Times New Roman"/>
          <w:sz w:val="24"/>
          <w:szCs w:val="24"/>
        </w:rPr>
        <w:t xml:space="preserve">Lingkungan fisik dipahami sebagai penyedia ruang dan akses terhadap kitab, bukan faktor yang otomatis menghasilkan minat belajar.</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Pembelajaran berlangsung melalui pengajian atau bandongan, praktik membaca di hadapan ustaz, diskusi atau halaqah, dan latihan membaca. Ustaz membaca serta menjelaskan materi, sedangkan santri mengikuti bacaan dan memperoleh kesempatan berlatih serta mendapatkan koreksi.</w:t>
      </w:r>
    </w:p>
    <w:p>
      <w:pPr>
        <w:keepNext w:val="false"/>
        <w:spacing w:after="200" w:line="360"/>
        <w:jc w:val="both"/>
      </w:pPr>
      <w:r>
        <w:rPr>
          <w:rFonts w:ascii="Times New Roman" w:cs="Times New Roman" w:eastAsia="Times New Roman" w:hAnsi="Times New Roman"/>
          <w:sz w:val="24"/>
          <w:szCs w:val="24"/>
        </w:rPr>
        <w:t xml:space="preserve">Zona Literasi Turats memberikan ruang bagi santri untuk membawa, membuka, dan membaca kitab turats di luar pembelajaran formal. Program tersebut memperluas kesempatan santri berinteraksi dengan kitab dan menempatkan kitab dalam aktivitas keseharian belajar.</w:t>
      </w:r>
    </w:p>
    <w:p>
      <w:pPr>
        <w:keepNext w:val="false"/>
        <w:spacing w:after="200" w:line="360"/>
        <w:jc w:val="both"/>
      </w:pPr>
      <w:r>
        <w:rPr>
          <w:rFonts w:ascii="Times New Roman" w:cs="Times New Roman" w:eastAsia="Times New Roman" w:hAnsi="Times New Roman"/>
          <w:sz w:val="24"/>
          <w:szCs w:val="24"/>
        </w:rPr>
        <w:t xml:space="preserve">Pembinaan membaca bertahap berdasarkan kemampuan santri menyesuaikan materi dan tuntutan membaca dengan kondisi kemampuan santri. Terdapat bentuk pengelompokan atau pembagian berdasarkan kemampuan membaca, disertai bimbingan dan latihan yang menyesuaikan kebutuhan.</w:t>
      </w:r>
    </w:p>
    <w:p>
      <w:pPr>
        <w:keepNext w:val="false"/>
        <w:spacing w:after="200" w:line="360"/>
        <w:jc w:val="both"/>
      </w:pPr>
      <w:r>
        <w:rPr>
          <w:rFonts w:ascii="Times New Roman" w:cs="Times New Roman" w:eastAsia="Times New Roman" w:hAnsi="Times New Roman"/>
          <w:sz w:val="24"/>
          <w:szCs w:val="24"/>
        </w:rPr>
        <w:t xml:space="preserve">Lomba Literasi Turats menjadi kegiatan kompetitif yang berkaitan dengan persiapan membaca, penguasaan materi, kesempatan menunjukkan kemampuan, dan variasi pengalaman keilmuan. Data tidak menunjukkan bahwa seluruh santri mengikuti lomba, sehingga kegiatan tersebut tidak digunakan sebagai bukti universal peningkatan minat.</w:t>
      </w:r>
    </w:p>
    <w:p>
      <w:pPr>
        <w:keepNext w:val="false"/>
        <w:spacing w:after="200" w:line="360"/>
        <w:jc w:val="both"/>
      </w:pPr>
      <w:r>
        <w:rPr>
          <w:rFonts w:ascii="Times New Roman" w:cs="Times New Roman" w:eastAsia="Times New Roman" w:hAnsi="Times New Roman"/>
          <w:sz w:val="24"/>
          <w:szCs w:val="24"/>
        </w:rPr>
        <w:t xml:space="preserve">Observasi juga menggambarkan bahwa ustaz memberi kesempatan santri membaca bagian kitab dan memberikan arahan atau koreksi ketika terdapat kesulitan.</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Ustaz memberikan penjelasan, bimbingan membaca, koreksi, dan dorongan kepada santri. Santri dapat bertanya ketika mengalami kesulitan.</w:t>
      </w:r>
    </w:p>
    <w:p>
      <w:pPr>
        <w:keepNext w:val="false"/>
        <w:spacing w:after="200" w:line="360"/>
        <w:jc w:val="both"/>
      </w:pPr>
      <w:r>
        <w:rPr>
          <w:rFonts w:ascii="Times New Roman" w:cs="Times New Roman" w:eastAsia="Times New Roman" w:hAnsi="Times New Roman"/>
          <w:sz w:val="24"/>
          <w:szCs w:val="24"/>
        </w:rPr>
        <w:t xml:space="preserve">Santri yang lebih mampu juga membantu teman yang mengalami kesulitan, termasuk dukungan santri senior kepada santri junior.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menjadi salah satu bentuk bantuan sosial dalam proses belajar.</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Tradisi mengaji dan membaca kitab menjadi bagian dari kehidupan pesantren. Kegiatan pembelajaran berlangsung dalam suasana religius dan penghormatan kepada ustaz serta kitab turut menyertai aktivitas keilmuan.</w:t>
      </w:r>
    </w:p>
    <w:p>
      <w:pPr>
        <w:keepNext w:val="false"/>
        <w:spacing w:after="200" w:line="360"/>
        <w:jc w:val="both"/>
      </w:pPr>
      <w:r>
        <w:rPr>
          <w:rFonts w:ascii="Times New Roman" w:cs="Times New Roman" w:eastAsia="Times New Roman" w:hAnsi="Times New Roman"/>
          <w:sz w:val="24"/>
          <w:szCs w:val="24"/>
        </w:rPr>
        <w:t xml:space="preserve">Lingkungan religius dipahami sebagai konteks nilai dalam pembelajaran dan bukan sebagai bukti kausal bahwa aktivitas religius otomatis meningkatkan minat.</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Zona Literasi Turats dan pembinaan membaca bertahap mencerminkan kebiasaan literasi yang melembaga pada lingkungan akademik. Dukungan ustaz dan antarsantri berkaitan dengan lingkungan sosial, sementara penghormatan kepada ustaz dan kitab juga bersinggungan dengan dimensi religius.</w:t>
      </w:r>
    </w:p>
    <w:p>
      <w:pPr>
        <w:keepNext w:val="false"/>
        <w:spacing w:after="200" w:line="360"/>
        <w:jc w:val="both"/>
      </w:pPr>
      <w:r>
        <w:rPr>
          <w:rFonts w:ascii="Times New Roman" w:cs="Times New Roman" w:eastAsia="Times New Roman" w:hAnsi="Times New Roman"/>
          <w:sz w:val="24"/>
          <w:szCs w:val="24"/>
        </w:rPr>
        <w:t xml:space="preserve">Budaya pesantren pada Situs 2 dipahami sebagai konteks lintas dimensi yang menghubungkan lingkungan fisik, akademik, sosial, dan religius, dengan penekanan empiris pada budaya literasi turats.</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2</w:t>
      </w:r>
    </w:p>
    <w:p>
      <w:pPr>
        <w:keepNext w:val="false"/>
        <w:spacing w:after="200" w:line="360"/>
        <w:jc w:val="both"/>
      </w:pPr>
      <w:r>
        <w:rPr>
          <w:rFonts w:ascii="Times New Roman" w:cs="Times New Roman" w:eastAsia="Times New Roman" w:hAnsi="Times New Roman"/>
          <w:sz w:val="24"/>
          <w:szCs w:val="24"/>
        </w:rPr>
        <w:t xml:space="preserve">Data menunjukkan bentuk-bentuk yang relevan untuk membaca minat santri, antara lain perhatian selama penjelasan ustaz, keterlibatan dalam kegiatan literasi, membaca secara mandiri di luar pengajian, kesediaan berlatih, keterlibatan dalam kegiatan Lomba Literasi Turats pada sebagian santri, keinginan memahami kitab, keinginan meningkatkan kemampuan membaca, serta keterlibatan belajar bersama.</w:t>
      </w:r>
    </w:p>
    <w:p>
      <w:pPr>
        <w:keepNext w:val="false"/>
        <w:spacing w:after="200" w:line="360"/>
        <w:jc w:val="both"/>
      </w:pPr>
      <w:r>
        <w:rPr>
          <w:rFonts w:ascii="Times New Roman" w:cs="Times New Roman" w:eastAsia="Times New Roman" w:hAnsi="Times New Roman"/>
          <w:sz w:val="24"/>
          <w:szCs w:val="24"/>
        </w:rPr>
        <w:t xml:space="preserve">Santri junior menggambarkan adanya kesulitan awal dalam membaca teks tanpa harakat dan keterbatasan kosakata. Pembiasaan, bimbingan ustaz, bantuan teman sebaya, dan pengalaman mulai memahami kitab berkaitan dengan proses adaptasi belajar.</w:t>
      </w:r>
    </w:p>
    <w:p>
      <w:pPr>
        <w:keepNext w:val="false"/>
        <w:spacing w:after="200" w:line="360"/>
        <w:jc w:val="both"/>
      </w:pPr>
      <w:r>
        <w:rPr>
          <w:rFonts w:ascii="Times New Roman" w:cs="Times New Roman" w:eastAsia="Times New Roman" w:hAnsi="Times New Roman"/>
          <w:sz w:val="24"/>
          <w:szCs w:val="24"/>
        </w:rPr>
        <w:t xml:space="preserve">Informan alumni menggambarkan pengalaman individual bahwa ketertarikan terhadap kitab berkembang seiring kebiasaan mengikuti lingkungan pesantren, aktivitas pengajian, kegiatan membaca di luar pelajaran, pengaruh teman yang belajar, dan pengalaman mengikuti penjelasan ustaz. Pengalaman alumni tersebut tidak diperlakukan sebagai representasi seluruh alumni atau santri.</w:t>
      </w:r>
    </w:p>
    <w:p>
      <w:pPr>
        <w:keepNext w:val="false"/>
        <w:spacing w:after="200" w:line="360"/>
        <w:jc w:val="both"/>
      </w:pPr>
      <w:r>
        <w:rPr>
          <w:rFonts w:ascii="Times New Roman" w:cs="Times New Roman" w:eastAsia="Times New Roman" w:hAnsi="Times New Roman"/>
          <w:sz w:val="24"/>
          <w:szCs w:val="24"/>
        </w:rPr>
        <w:t xml:space="preserve">Kehadiran dalam kegiatan yang diwajibkan tidak digunakan sebagai bukti tunggal minat. Minat dibaca melalui kombinasi perhatian, keterlibatan, inisiatif, kesungguhan, konsistensi, kemauan memperdalam, dan data informan lainnya.</w:t>
      </w:r>
    </w:p>
    <w:p>
      <w:pPr>
        <w:pStyle w:val="Heading2"/>
        <w:spacing w:after="200" w:before="360"/>
      </w:pPr>
      <w:r>
        <w:rPr>
          <w:rFonts w:ascii="Times New Roman" w:cs="Times New Roman" w:eastAsia="Times New Roman" w:hAnsi="Times New Roman"/>
          <w:b/>
          <w:bCs/>
          <w:sz w:val="28"/>
          <w:szCs w:val="28"/>
        </w:rPr>
        <w:t xml:space="preserve">4. Faktor Pendukung dan Penghambat pada Situs 2</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Faktor pendukung meliputi dukungan dan kebijakan pengasuh, kompetensi dan keteladanan ustaz, dukungan kelembagaan, lingkungan sosial atau teman sebaya, kemauan personal sebagian santri, serta ketersediaan kitab dan lingkungan literasi.</w:t>
      </w:r>
    </w:p>
    <w:p>
      <w:pPr>
        <w:keepNext w:val="false"/>
        <w:spacing w:after="200" w:line="360"/>
        <w:jc w:val="both"/>
      </w:pPr>
      <w:r>
        <w:rPr>
          <w:rFonts w:ascii="Times New Roman" w:cs="Times New Roman" w:eastAsia="Times New Roman" w:hAnsi="Times New Roman"/>
          <w:sz w:val="24"/>
          <w:szCs w:val="24"/>
        </w:rPr>
        <w:t xml:space="preserve">Dukungan kelembagaan tampak melalui Zona Literasi Turats, pembinaan membaca secara bertahap berdasarkan kemampuan santri, Lomba Literasi Turats, pengajian, dan latihan membaca.</w:t>
      </w:r>
    </w:p>
    <w:p>
      <w:pPr>
        <w:keepNext w:val="false"/>
        <w:spacing w:after="200" w:line="360"/>
        <w:jc w:val="both"/>
      </w:pPr>
      <w:r>
        <w:rPr>
          <w:rFonts w:ascii="Times New Roman" w:cs="Times New Roman" w:eastAsia="Times New Roman" w:hAnsi="Times New Roman"/>
          <w:sz w:val="24"/>
          <w:szCs w:val="24"/>
        </w:rPr>
        <w:t xml:space="preserve">Tidak terdapat dasar untuk menentukan satu faktor sebagai faktor paling dominan.</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Hambatan yang ditemukan mencakup perbedaan kemampuan dasar membaca Arab antarsantri, tingkat kesulitan kitab yang berbeda, keterbatasan waktu belajar, kejenuhan terhadap rutinitas, serta aktivitas lain di luar pembelajaran kitab yang mengurangi ketersediaan waktu.</w:t>
      </w:r>
    </w:p>
    <w:p>
      <w:pPr>
        <w:keepNext w:val="false"/>
        <w:spacing w:after="200" w:line="360"/>
        <w:jc w:val="both"/>
      </w:pPr>
      <w:r>
        <w:rPr>
          <w:rFonts w:ascii="Times New Roman" w:cs="Times New Roman" w:eastAsia="Times New Roman" w:hAnsi="Times New Roman"/>
          <w:sz w:val="24"/>
          <w:szCs w:val="24"/>
        </w:rPr>
        <w:t xml:space="preserve">Teknologi atau gadget muncul sebagai potensi distraksi pada kondisi tertentu, bukan hambatan universal.</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2</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Zona Literasi Turats menyediakan kesempatan membaca di luar pembelajaran formal. Pembinaan berdasarkan kemampuan menyesuaikan tuntutan belajar dengan kondisi santri. Lomba Literasi Turats menyediakan variasi pengalaman dan stimulus kompetitif bagi sebagian santri. Bimbingan ustaz dan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memberikan dukungan pedagogis dan sosial.</w:t>
      </w:r>
    </w:p>
    <w:p>
      <w:pPr>
        <w:keepNext w:val="false"/>
        <w:spacing w:after="200" w:line="360"/>
        <w:jc w:val="both"/>
      </w:pPr>
      <w:r>
        <w:rPr>
          <w:rFonts w:ascii="Times New Roman" w:cs="Times New Roman" w:eastAsia="Times New Roman" w:hAnsi="Times New Roman"/>
          <w:sz w:val="24"/>
          <w:szCs w:val="24"/>
        </w:rPr>
        <w:t xml:space="preserve">Kondisi-kondisi tersebut berkaitan dengan perhatian, keterlibatan, inisiatif membaca, kesediaan berlatih, antusiasme, dan kemauan memperdalam kitab pada sebagian santri. Hubungan tersebut tidak dimaknai sebagai sebab-akibat.</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Santri berlatih membaca kitab tanpa harakat dengan kemampuan yang bervariasi menurut pengalaman dan tingkat kemampuan.</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Santri dilatih mengenali kedudukan kata, struktur kalimat, dan menggunakan kaidah nahwu-sharaf ketika membaca kitab.</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Penjelasan ustaz, diskusi,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latihan menyediakan kesempatan memahami isi teks.</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Data menggambarkan perkembangan melalui latihan bertahap, pembiasaan membaca, bimbingan ustaz, koreksi, pengulangan, dan interaksi dengan kitab. Santri pada tingkat lebih tinggi teramati lebih lancar dibanding sebagian santri tingkat awal. Perbedaan tersebut dibaca secara kualitatif sebagai indikasi perkembangan pengalaman membaca, bukan bukti efek kausal program tertentu.</w:t>
      </w:r>
    </w:p>
    <w:p>
      <w:pPr>
        <w:pStyle w:val="Heading1"/>
        <w:spacing w:after="240" w:before="480"/>
      </w:pPr>
      <w:r>
        <w:rPr>
          <w:rFonts w:ascii="Times New Roman" w:cs="Times New Roman" w:eastAsia="Times New Roman" w:hAnsi="Times New Roman"/>
          <w:b/>
          <w:bCs/>
          <w:sz w:val="32"/>
          <w:szCs w:val="32"/>
        </w:rPr>
        <w:t xml:space="preserve">C. Temuan Penelitian Situs 1: Pondok Pesantren An-Najiyah II</w:t>
      </w:r>
    </w:p>
    <w:p>
      <w:pPr>
        <w:keepNext w:val="false"/>
        <w:spacing w:after="200" w:line="360"/>
        <w:jc w:val="both"/>
      </w:pPr>
      <w:r>
        <w:rPr>
          <w:rFonts w:ascii="Times New Roman" w:cs="Times New Roman" w:eastAsia="Times New Roman" w:hAnsi="Times New Roman"/>
          <w:sz w:val="24"/>
          <w:szCs w:val="24"/>
        </w:rPr>
        <w:t xml:space="preserve">Berdasarkan analisis dalam situs terhadap data Situs 1, temuan penelitian dirumuskan sebagai berikut.</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sz w:val="24"/>
          <w:szCs w:val="24"/>
        </w:rPr>
        <w:t xml:space="preserve">Pertama, strategi lingkungan pembelajaran pada Situs 1 tidak bertumpu pada satu program, tetapi merupakan konfigurasi antara lingkungan fisik, struktur akademik, pendampingan sosial, dan konteks religius pesantren.</w:t>
      </w:r>
    </w:p>
    <w:p>
      <w:pPr>
        <w:keepNext w:val="false"/>
        <w:spacing w:after="200" w:line="360"/>
        <w:jc w:val="both"/>
      </w:pPr>
      <w:r>
        <w:rPr>
          <w:rFonts w:ascii="Times New Roman" w:cs="Times New Roman" w:eastAsia="Times New Roman" w:hAnsi="Times New Roman"/>
          <w:sz w:val="24"/>
          <w:szCs w:val="24"/>
        </w:rPr>
        <w:t xml:space="preserve">Kedua, orientasi strategi akademik Situs 1 menonjol pada </w:t>
      </w:r>
      <w:r>
        <w:rPr>
          <w:rFonts w:ascii="Times New Roman" w:cs="Times New Roman" w:eastAsia="Times New Roman" w:hAnsi="Times New Roman"/>
          <w:b/>
          <w:bCs/>
          <w:sz w:val="24"/>
          <w:szCs w:val="24"/>
        </w:rPr>
        <w:t xml:space="preserve">struktur, rutinitas, target, pengawasan, dan pendampingan</w:t>
      </w:r>
      <w:r>
        <w:rPr>
          <w:rFonts w:ascii="Times New Roman" w:cs="Times New Roman" w:eastAsia="Times New Roman" w:hAnsi="Times New Roman"/>
          <w:sz w:val="24"/>
          <w:szCs w:val="24"/>
        </w:rPr>
        <w:t xml:space="preserve">. Target Bacaan Mingguan menyediakan arah membaca yang terstruktur, Forum Mudzakarah Ilmiyyah memperluas kegiatan pembelajaran melalui diskusi keilmuan, dan Belajar Malam Wajib menyediakan waktu khusus belajar dengan pendampingan.</w:t>
      </w:r>
    </w:p>
    <w:p>
      <w:pPr>
        <w:keepNext w:val="false"/>
        <w:spacing w:after="200" w:line="360"/>
        <w:jc w:val="both"/>
      </w:pPr>
      <w:r>
        <w:rPr>
          <w:rFonts w:ascii="Times New Roman" w:cs="Times New Roman" w:eastAsia="Times New Roman" w:hAnsi="Times New Roman"/>
          <w:sz w:val="24"/>
          <w:szCs w:val="24"/>
        </w:rPr>
        <w:t xml:space="preserve">Ketiga, sorogan, bandongan/wetonan, pembacaan terbimbing, dan forum keilmuan memberikan variasi kesempatan untuk mendengar penjelasan, membaca, memperoleh koreksi, mendiskusikan materi, dan memaknai kitab.</w:t>
      </w:r>
    </w:p>
    <w:p>
      <w:pPr>
        <w:keepNext w:val="false"/>
        <w:spacing w:after="200" w:line="360"/>
        <w:jc w:val="both"/>
      </w:pPr>
      <w:r>
        <w:rPr>
          <w:rFonts w:ascii="Times New Roman" w:cs="Times New Roman" w:eastAsia="Times New Roman" w:hAnsi="Times New Roman"/>
          <w:sz w:val="24"/>
          <w:szCs w:val="24"/>
        </w:rPr>
        <w:t xml:space="preserve">Keempat, ustaz dan teman sebaya membentuk dua lapis dukungan belajar. Ustaz berfungsi sebagai pembimbing pedagogis dan pemberi koreksi, sedangkan teman sebaya menyediakan dukungan sosial dan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w:t>
      </w:r>
    </w:p>
    <w:p>
      <w:pPr>
        <w:keepNext w:val="false"/>
        <w:spacing w:after="200" w:line="360"/>
        <w:jc w:val="both"/>
      </w:pPr>
      <w:r>
        <w:rPr>
          <w:rFonts w:ascii="Times New Roman" w:cs="Times New Roman" w:eastAsia="Times New Roman" w:hAnsi="Times New Roman"/>
          <w:sz w:val="24"/>
          <w:szCs w:val="24"/>
        </w:rPr>
        <w:t xml:space="preserve">Kelima, budaya pesantren hadir sebagai konteks yang menghubungkan dimensi fisik, akademik, sosial, dan religius melalui pembiasaan, kedisiplinan, adab, dan tradisi keilmuan.</w:t>
      </w:r>
    </w:p>
    <w:p>
      <w:pPr>
        <w:keepNext w:val="false"/>
        <w:spacing w:after="200" w:line="360"/>
        <w:jc w:val="both"/>
      </w:pPr>
      <w:r>
        <w:rPr>
          <w:rFonts w:ascii="Times New Roman" w:cs="Times New Roman" w:eastAsia="Times New Roman" w:hAnsi="Times New Roman"/>
          <w:sz w:val="24"/>
          <w:szCs w:val="24"/>
        </w:rPr>
        <w:t xml:space="preserve">Keenam, minat terhadap kitab turats pada Situs 1 dibaca melalui kombinasi perhatian, keterlibatan, konsistensi, kesungguhan, inisiatif membaca, aktivitas diskusi, dan kemauan memperdalam kitab. Kehadiran dalam kegiatan wajib tidak digunakan secara tunggal sebagai bukti minat.</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sz w:val="24"/>
          <w:szCs w:val="24"/>
        </w:rPr>
        <w:t xml:space="preserve">Faktor pendukung Situs 1 mencakup arah dan dukungan pengasuh, kompetensi dan keteladanan ustaz, struktur program kelembagaan, dukungan teman sebaya, kemauan personal sebagian santri, serta ketersediaan ruang dan kitab.</w:t>
      </w:r>
    </w:p>
    <w:p>
      <w:pPr>
        <w:keepNext w:val="false"/>
        <w:spacing w:after="200" w:line="360"/>
        <w:jc w:val="both"/>
      </w:pPr>
      <w:r>
        <w:rPr>
          <w:rFonts w:ascii="Times New Roman" w:cs="Times New Roman" w:eastAsia="Times New Roman" w:hAnsi="Times New Roman"/>
          <w:sz w:val="24"/>
          <w:szCs w:val="24"/>
        </w:rPr>
        <w:t xml:space="preserve">Faktor penghambat mencakup heterogenitas kemampuan awal, keterbatasan waktu karena kepadatan kegiatan, kelelahan atau kejenuhan, serta teknologi sebagai potensi distraksi pada kondisi tertentu.</w:t>
      </w:r>
    </w:p>
    <w:p>
      <w:pPr>
        <w:keepNext w:val="false"/>
        <w:spacing w:after="200" w:line="360"/>
        <w:jc w:val="both"/>
      </w:pPr>
      <w:r>
        <w:rPr>
          <w:rFonts w:ascii="Times New Roman" w:cs="Times New Roman" w:eastAsia="Times New Roman" w:hAnsi="Times New Roman"/>
          <w:sz w:val="24"/>
          <w:szCs w:val="24"/>
        </w:rPr>
        <w:t xml:space="preserve">Faktor pendukung dan penghambat tersebut tidak berdiri sendiri, tetapi berkaitan dengan pelaksanaan strategi lingkungan pembelajaran secara keseluruhan.</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Strategi Situs 1 menyediakan kesempatan berulang bagi santri untuk berinteraksi dengan kitab melalui pengajian, Target Bacaan Mingguan, Belajar Malam Wajib, sorogan, pembacaan terbimbing, dan Forum Mudzakarah Ilmiyyah.</w:t>
      </w:r>
    </w:p>
    <w:p>
      <w:pPr>
        <w:keepNext w:val="false"/>
        <w:spacing w:after="200" w:line="360"/>
        <w:jc w:val="both"/>
      </w:pPr>
      <w:r>
        <w:rPr>
          <w:rFonts w:ascii="Times New Roman" w:cs="Times New Roman" w:eastAsia="Times New Roman" w:hAnsi="Times New Roman"/>
          <w:sz w:val="24"/>
          <w:szCs w:val="24"/>
        </w:rPr>
        <w:t xml:space="preserve">Minat tergambar melalui berbagai jejak empiris seperti perhatian, keterlibatan, konsistensi, inisiatif membaca, dan kesediaan memperdalam pembelajaran.</w:t>
      </w:r>
    </w:p>
    <w:p>
      <w:pPr>
        <w:keepNext w:val="false"/>
        <w:spacing w:after="200" w:line="360"/>
        <w:jc w:val="both"/>
      </w:pPr>
      <w:r>
        <w:rPr>
          <w:rFonts w:ascii="Times New Roman" w:cs="Times New Roman" w:eastAsia="Times New Roman" w:hAnsi="Times New Roman"/>
          <w:sz w:val="24"/>
          <w:szCs w:val="24"/>
        </w:rPr>
        <w:t xml:space="preserve">Perkembangan maharah qira'ah tergambar melalui kemampuan membaca teks tanpa harakat, penerapan nahwu-sharaf atau ketepatan struktur, pemahaman atau pemaknaan teks, serta perkembangan kemampuan membaca secara kualitatif.</w:t>
      </w:r>
    </w:p>
    <w:p>
      <w:pPr>
        <w:keepNext w:val="false"/>
        <w:spacing w:after="200" w:line="360"/>
        <w:jc w:val="both"/>
      </w:pPr>
      <w:r>
        <w:rPr>
          <w:rFonts w:ascii="Times New Roman" w:cs="Times New Roman" w:eastAsia="Times New Roman" w:hAnsi="Times New Roman"/>
          <w:sz w:val="24"/>
          <w:szCs w:val="24"/>
        </w:rPr>
        <w:t xml:space="preserve">Perkembangan tersebut tidak dapat dikaitkan secara kausal dengan satu program tertentu, tetapi dipahami sebagai akumulasi pengalaman membaca, latihan, koreksi, bimbingan, pengulangan, dan interaksi keilmuan.</w:t>
      </w:r>
    </w:p>
    <w:p>
      <w:pPr>
        <w:pStyle w:val="Heading2"/>
        <w:spacing w:after="200" w:before="360"/>
      </w:pPr>
      <w:r>
        <w:rPr>
          <w:rFonts w:ascii="Times New Roman" w:cs="Times New Roman" w:eastAsia="Times New Roman" w:hAnsi="Times New Roman"/>
          <w:b/>
          <w:bCs/>
          <w:sz w:val="28"/>
          <w:szCs w:val="28"/>
        </w:rPr>
        <w:t xml:space="preserve">4. Pola Utama Situs 1</w:t>
      </w:r>
    </w:p>
    <w:p>
      <w:pPr>
        <w:keepNext w:val="false"/>
        <w:spacing w:after="200" w:line="360"/>
        <w:jc w:val="both"/>
      </w:pPr>
      <w:r>
        <w:rPr>
          <w:rFonts w:ascii="Times New Roman" w:cs="Times New Roman" w:eastAsia="Times New Roman" w:hAnsi="Times New Roman"/>
          <w:sz w:val="24"/>
          <w:szCs w:val="24"/>
        </w:rPr>
        <w:t xml:space="preserve">Pola utama Situs 1 adalah </w:t>
      </w:r>
      <w:r>
        <w:rPr>
          <w:rFonts w:ascii="Times New Roman" w:cs="Times New Roman" w:eastAsia="Times New Roman" w:hAnsi="Times New Roman"/>
          <w:b/>
          <w:bCs/>
          <w:sz w:val="24"/>
          <w:szCs w:val="24"/>
        </w:rPr>
        <w:t xml:space="preserve">penguatan interaksi santri dengan kitab melalui struktur kelembagaan dan rutinitas belajar yang terarah</w:t>
      </w:r>
      <w:r>
        <w:rPr>
          <w:rFonts w:ascii="Times New Roman" w:cs="Times New Roman" w:eastAsia="Times New Roman" w:hAnsi="Times New Roman"/>
          <w:sz w:val="24"/>
          <w:szCs w:val="24"/>
        </w:rPr>
        <w:t xml:space="preserve">, disertai pendampingan ustaz, dukungan teman sebaya, forum keilmuan, dan konteks budaya pesantren.</w:t>
      </w:r>
    </w:p>
    <w:p>
      <w:pPr>
        <w:pStyle w:val="Heading1"/>
        <w:spacing w:after="240" w:before="480"/>
      </w:pPr>
      <w:r>
        <w:rPr>
          <w:rFonts w:ascii="Times New Roman" w:cs="Times New Roman" w:eastAsia="Times New Roman" w:hAnsi="Times New Roman"/>
          <w:b/>
          <w:bCs/>
          <w:sz w:val="32"/>
          <w:szCs w:val="32"/>
        </w:rPr>
        <w:t xml:space="preserve">D. Temuan Penelitian Situs 2: Pondok Pesantren Asy-Syafa'ah</w:t>
      </w:r>
    </w:p>
    <w:p>
      <w:pPr>
        <w:keepNext w:val="false"/>
        <w:spacing w:after="200" w:line="360"/>
        <w:jc w:val="both"/>
      </w:pPr>
      <w:r>
        <w:rPr>
          <w:rFonts w:ascii="Times New Roman" w:cs="Times New Roman" w:eastAsia="Times New Roman" w:hAnsi="Times New Roman"/>
          <w:sz w:val="24"/>
          <w:szCs w:val="24"/>
        </w:rPr>
        <w:t xml:space="preserve">Berdasarkan analisis dalam situs terhadap data Situs 2, temuan penelitian dirumuskan sebagai berikut.</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sz w:val="24"/>
          <w:szCs w:val="24"/>
        </w:rPr>
        <w:t xml:space="preserve">Pertama, strategi lingkungan pembelajaran Situs 2 merupakan konfigurasi antara lingkungan fisik, akademik, sosial, dan religius dalam konteks budaya pesantren.</w:t>
      </w:r>
    </w:p>
    <w:p>
      <w:pPr>
        <w:keepNext w:val="false"/>
        <w:spacing w:after="200" w:line="360"/>
        <w:jc w:val="both"/>
      </w:pPr>
      <w:r>
        <w:rPr>
          <w:rFonts w:ascii="Times New Roman" w:cs="Times New Roman" w:eastAsia="Times New Roman" w:hAnsi="Times New Roman"/>
          <w:sz w:val="24"/>
          <w:szCs w:val="24"/>
        </w:rPr>
        <w:t xml:space="preserve">Kedua, orientasi strategi Situs 2 lebih menonjol pada </w:t>
      </w:r>
      <w:r>
        <w:rPr>
          <w:rFonts w:ascii="Times New Roman" w:cs="Times New Roman" w:eastAsia="Times New Roman" w:hAnsi="Times New Roman"/>
          <w:b/>
          <w:bCs/>
          <w:sz w:val="24"/>
          <w:szCs w:val="24"/>
        </w:rPr>
        <w:t xml:space="preserve">budaya literasi, adaptasi kemampuan, variasi pengalaman belajar, dan pendampingan</w:t>
      </w:r>
      <w:r>
        <w:rPr>
          <w:rFonts w:ascii="Times New Roman" w:cs="Times New Roman" w:eastAsia="Times New Roman" w:hAnsi="Times New Roman"/>
          <w:sz w:val="24"/>
          <w:szCs w:val="24"/>
        </w:rPr>
        <w:t xml:space="preserve">.</w:t>
      </w:r>
    </w:p>
    <w:p>
      <w:pPr>
        <w:keepNext w:val="false"/>
        <w:spacing w:after="200" w:line="360"/>
        <w:jc w:val="both"/>
      </w:pPr>
      <w:r>
        <w:rPr>
          <w:rFonts w:ascii="Times New Roman" w:cs="Times New Roman" w:eastAsia="Times New Roman" w:hAnsi="Times New Roman"/>
          <w:sz w:val="24"/>
          <w:szCs w:val="24"/>
        </w:rPr>
        <w:t xml:space="preserve">Ketiga, Zona Literasi Turats memperluas kesempatan berinteraksi dengan kitab di luar pembelajaran formal. Pembinaan membaca secara bertahap berdasarkan kemampuan santri memberikan bentuk respons terhadap heterogenitas kemampuan. Lomba Literasi Turats menyediakan pengalaman keilmuan yang bersifat kompetitif bagi sebagian santri.</w:t>
      </w:r>
    </w:p>
    <w:p>
      <w:pPr>
        <w:keepNext w:val="false"/>
        <w:spacing w:after="200" w:line="360"/>
        <w:jc w:val="both"/>
      </w:pPr>
      <w:r>
        <w:rPr>
          <w:rFonts w:ascii="Times New Roman" w:cs="Times New Roman" w:eastAsia="Times New Roman" w:hAnsi="Times New Roman"/>
          <w:sz w:val="24"/>
          <w:szCs w:val="24"/>
        </w:rPr>
        <w:t xml:space="preserve">Keempat, bimbingan dan koreksi ustaz dipadukan dengan dukungan teman sebaya. Santri senior membantu santri yang lebih junior pada situasi tertentu, sehingga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menjadi bagian dari lingkungan sosial pembelajaran.</w:t>
      </w:r>
    </w:p>
    <w:p>
      <w:pPr>
        <w:keepNext w:val="false"/>
        <w:spacing w:after="200" w:line="360"/>
        <w:jc w:val="both"/>
      </w:pPr>
      <w:r>
        <w:rPr>
          <w:rFonts w:ascii="Times New Roman" w:cs="Times New Roman" w:eastAsia="Times New Roman" w:hAnsi="Times New Roman"/>
          <w:sz w:val="24"/>
          <w:szCs w:val="24"/>
        </w:rPr>
        <w:t xml:space="preserve">Kelima, budaya pesantren pada Situs 2 menempatkan literasi turats dalam kehidupan akademik dan sosial pesantren, dengan lingkungan religius menjadi konteks nilai yang menyertai pembelajaran.</w:t>
      </w:r>
    </w:p>
    <w:p>
      <w:pPr>
        <w:keepNext w:val="false"/>
        <w:spacing w:after="200" w:line="360"/>
        <w:jc w:val="both"/>
      </w:pPr>
      <w:r>
        <w:rPr>
          <w:rFonts w:ascii="Times New Roman" w:cs="Times New Roman" w:eastAsia="Times New Roman" w:hAnsi="Times New Roman"/>
          <w:sz w:val="24"/>
          <w:szCs w:val="24"/>
        </w:rPr>
        <w:t xml:space="preserve">Keenam, minat dibaca melalui perhatian, keterlibatan, aktivitas membaca di luar pembelajaran formal, inisiatif berlatih, interaksi dengan teman, kemauan memperdalam kitab, dan bentuk ketertarikan lain yang didukung data.</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sz w:val="24"/>
          <w:szCs w:val="24"/>
        </w:rPr>
        <w:t xml:space="preserve">Faktor pendukung pada Situs 2 mencakup kebijakan dan dukungan pengasuh, kompetensi serta keteladanan ustaz, dukungan kelembagaan melalui program literasi dan pembinaan membaca, dukungan teman sebaya, kemauan personal sebagian santri, serta ketersediaan kitab dan ruang belajar.</w:t>
      </w:r>
    </w:p>
    <w:p>
      <w:pPr>
        <w:keepNext w:val="false"/>
        <w:spacing w:after="200" w:line="360"/>
        <w:jc w:val="both"/>
      </w:pPr>
      <w:r>
        <w:rPr>
          <w:rFonts w:ascii="Times New Roman" w:cs="Times New Roman" w:eastAsia="Times New Roman" w:hAnsi="Times New Roman"/>
          <w:sz w:val="24"/>
          <w:szCs w:val="24"/>
        </w:rPr>
        <w:t xml:space="preserve">Faktor penghambat mencakup heterogenitas kemampuan dasar, tingkat kesulitan teks, keterbatasan waktu, kejenuhan, aktivitas lain di luar pembelajaran kitab, dan teknologi sebagai potensi distraksi dalam kondisi tertentu.</w:t>
      </w:r>
    </w:p>
    <w:p>
      <w:pPr>
        <w:keepNext w:val="false"/>
        <w:spacing w:after="200" w:line="360"/>
        <w:jc w:val="both"/>
      </w:pPr>
      <w:r>
        <w:rPr>
          <w:rFonts w:ascii="Times New Roman" w:cs="Times New Roman" w:eastAsia="Times New Roman" w:hAnsi="Times New Roman"/>
          <w:sz w:val="24"/>
          <w:szCs w:val="24"/>
        </w:rPr>
        <w:t xml:space="preserve">Pembinaan berdasarkan kemampuan menjadi salah satu respons kelembagaan yang tampak lebih eksplisit pada Situs 2 terhadap heterogenitas kemampuan santri.</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Zona Literasi Turats, pembinaan membaca secara bertahap berdasarkan kemampuan santri, bimbingan ustaz,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variasi kegiatan menyediakan kesempatan santri berinteraksi dengan kitab dalam konteks yang lebih luas daripada pembelajaran formal.</w:t>
      </w:r>
    </w:p>
    <w:p>
      <w:pPr>
        <w:keepNext w:val="false"/>
        <w:spacing w:after="200" w:line="360"/>
        <w:jc w:val="both"/>
      </w:pPr>
      <w:r>
        <w:rPr>
          <w:rFonts w:ascii="Times New Roman" w:cs="Times New Roman" w:eastAsia="Times New Roman" w:hAnsi="Times New Roman"/>
          <w:sz w:val="24"/>
          <w:szCs w:val="24"/>
        </w:rPr>
        <w:t xml:space="preserve">Minat tergambar melalui perhatian, keterlibatan, inisiatif membaca, kesediaan berlatih, kemauan memperdalam, dan pada sebagian santri keterlibatan dalam pengalaman kompetitif.</w:t>
      </w:r>
    </w:p>
    <w:p>
      <w:pPr>
        <w:keepNext w:val="false"/>
        <w:spacing w:after="200" w:line="360"/>
        <w:jc w:val="both"/>
      </w:pPr>
      <w:r>
        <w:rPr>
          <w:rFonts w:ascii="Times New Roman" w:cs="Times New Roman" w:eastAsia="Times New Roman" w:hAnsi="Times New Roman"/>
          <w:sz w:val="24"/>
          <w:szCs w:val="24"/>
        </w:rPr>
        <w:t xml:space="preserve">Perkembangan maharah qira'ah tergambar melalui latihan membaca teks tanpa harakat, penerapan struktur dan nahwu-sharaf, pemahaman makna, serta perkembangan kemampuan membaca secara kualitatif.</w:t>
      </w:r>
    </w:p>
    <w:p>
      <w:pPr>
        <w:keepNext w:val="false"/>
        <w:spacing w:after="200" w:line="360"/>
        <w:jc w:val="both"/>
      </w:pPr>
      <w:r>
        <w:rPr>
          <w:rFonts w:ascii="Times New Roman" w:cs="Times New Roman" w:eastAsia="Times New Roman" w:hAnsi="Times New Roman"/>
          <w:sz w:val="24"/>
          <w:szCs w:val="24"/>
        </w:rPr>
        <w:t xml:space="preserve">Perkembangan tersebut dipahami sebagai akumulasi pengalaman belajar, latihan, koreksi, bimbingan,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pembiasaan membaca, tanpa atribusi kausal kepada satu program tertentu.</w:t>
      </w:r>
    </w:p>
    <w:p>
      <w:pPr>
        <w:pStyle w:val="Heading2"/>
        <w:spacing w:after="200" w:before="360"/>
      </w:pPr>
      <w:r>
        <w:rPr>
          <w:rFonts w:ascii="Times New Roman" w:cs="Times New Roman" w:eastAsia="Times New Roman" w:hAnsi="Times New Roman"/>
          <w:b/>
          <w:bCs/>
          <w:sz w:val="28"/>
          <w:szCs w:val="28"/>
        </w:rPr>
        <w:t xml:space="preserve">4. Pola Utama Situs 2</w:t>
      </w:r>
    </w:p>
    <w:p>
      <w:pPr>
        <w:keepNext w:val="false"/>
        <w:spacing w:after="200" w:line="360"/>
        <w:jc w:val="both"/>
      </w:pPr>
      <w:r>
        <w:rPr>
          <w:rFonts w:ascii="Times New Roman" w:cs="Times New Roman" w:eastAsia="Times New Roman" w:hAnsi="Times New Roman"/>
          <w:sz w:val="24"/>
          <w:szCs w:val="24"/>
        </w:rPr>
        <w:t xml:space="preserve">Pola utama Situs 2 adalah </w:t>
      </w:r>
      <w:r>
        <w:rPr>
          <w:rFonts w:ascii="Times New Roman" w:cs="Times New Roman" w:eastAsia="Times New Roman" w:hAnsi="Times New Roman"/>
          <w:b/>
          <w:bCs/>
          <w:sz w:val="24"/>
          <w:szCs w:val="24"/>
        </w:rPr>
        <w:t xml:space="preserve">perluasan interaksi santri dengan kitab melalui budaya literasi, adaptasi kemampuan, variasi kegiatan, dan pendampingan</w:t>
      </w:r>
      <w:r>
        <w:rPr>
          <w:rFonts w:ascii="Times New Roman" w:cs="Times New Roman" w:eastAsia="Times New Roman" w:hAnsi="Times New Roman"/>
          <w:sz w:val="24"/>
          <w:szCs w:val="24"/>
        </w:rPr>
        <w:t xml:space="preserve">, dalam konteks lingkungan pesantren yang menghubungkan dimensi akademik, sosial, religius, dan fisik.</w:t>
      </w:r>
    </w:p>
    <w:p>
      <w:pPr>
        <w:pStyle w:val="Heading1"/>
        <w:spacing w:after="240" w:before="480"/>
      </w:pPr>
      <w:r>
        <w:rPr>
          <w:rFonts w:ascii="Times New Roman" w:cs="Times New Roman" w:eastAsia="Times New Roman" w:hAnsi="Times New Roman"/>
          <w:b/>
          <w:bCs/>
          <w:sz w:val="32"/>
          <w:szCs w:val="32"/>
        </w:rPr>
        <w:t xml:space="preserve">E. Temuan Lintas Situs (Cross-Site Analysis)</w:t>
      </w:r>
    </w:p>
    <w:p>
      <w:pPr>
        <w:pStyle w:val="Heading2"/>
        <w:spacing w:after="200" w:before="360"/>
      </w:pPr>
      <w:r>
        <w:rPr>
          <w:rFonts w:ascii="Times New Roman" w:cs="Times New Roman" w:eastAsia="Times New Roman" w:hAnsi="Times New Roman"/>
          <w:b/>
          <w:bCs/>
          <w:sz w:val="28"/>
          <w:szCs w:val="28"/>
        </w:rPr>
        <w:t xml:space="preserve">1. Temuan Lintas Situs RM 1</w:t>
      </w:r>
    </w:p>
    <w:p>
      <w:pPr>
        <w:pStyle w:val="Heading3"/>
        <w:spacing w:after="160" w:before="280"/>
      </w:pPr>
      <w:r>
        <w:rPr>
          <w:rFonts w:ascii="Times New Roman" w:cs="Times New Roman" w:eastAsia="Times New Roman" w:hAnsi="Times New Roman"/>
          <w:b/>
          <w:bCs/>
          <w:i w:val="false"/>
          <w:iCs w:val="false"/>
          <w:sz w:val="26"/>
          <w:szCs w:val="26"/>
        </w:rPr>
        <w:t xml:space="preserve">a. Persamaan yang Didukung Kedua Situs</w:t>
      </w:r>
    </w:p>
    <w:p>
      <w:pPr>
        <w:keepNext w:val="false"/>
        <w:spacing w:after="200" w:line="360"/>
        <w:jc w:val="both"/>
      </w:pPr>
      <w:r>
        <w:rPr>
          <w:rFonts w:ascii="Times New Roman" w:cs="Times New Roman" w:eastAsia="Times New Roman" w:hAnsi="Times New Roman"/>
          <w:sz w:val="24"/>
          <w:szCs w:val="24"/>
        </w:rPr>
        <w:t xml:space="preserve">Data kedua situs menunjukkan bahwa pembelajaran kitab tidak terbatas pada pengajian formal. Kedua pesantren menyediakan kegiatan di luar sesi utama, ruang belajar, kitab sebagai sumber pembelajaran, struktur kegiatan, bimbingan ustaz, koreksi bacaan, latihan membaca,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kegiatan membaca di luar kelas.</w:t>
      </w:r>
    </w:p>
    <w:p>
      <w:pPr>
        <w:keepNext w:val="false"/>
        <w:spacing w:after="200" w:line="360"/>
        <w:jc w:val="both"/>
      </w:pPr>
      <w:r>
        <w:rPr>
          <w:rFonts w:ascii="Times New Roman" w:cs="Times New Roman" w:eastAsia="Times New Roman" w:hAnsi="Times New Roman"/>
          <w:sz w:val="24"/>
          <w:szCs w:val="24"/>
        </w:rPr>
        <w:t xml:space="preserve">Lingkungan religius juga menjadi konteks yang menyertai pembelajaran kitab, sedangkan budaya pesantren menghubungkan dimensi fisik, akademik, sosial, dan religius.</w:t>
      </w:r>
    </w:p>
    <w:p>
      <w:pPr>
        <w:keepNext w:val="false"/>
        <w:spacing w:after="200" w:line="360"/>
        <w:jc w:val="both"/>
      </w:pPr>
      <w:r>
        <w:rPr>
          <w:rFonts w:ascii="Times New Roman" w:cs="Times New Roman" w:eastAsia="Times New Roman" w:hAnsi="Times New Roman"/>
          <w:sz w:val="24"/>
          <w:szCs w:val="24"/>
        </w:rPr>
        <w:t xml:space="preserve">Pola lintas situs yang muncul adalah bahwa </w:t>
      </w:r>
      <w:r>
        <w:rPr>
          <w:rFonts w:ascii="Times New Roman" w:cs="Times New Roman" w:eastAsia="Times New Roman" w:hAnsi="Times New Roman"/>
          <w:b/>
          <w:bCs/>
          <w:sz w:val="24"/>
          <w:szCs w:val="24"/>
        </w:rPr>
        <w:t xml:space="preserve">strategi lingkungan pembelajaran memperluas interaksi santri dengan kitab dari ruang pengajian formal menuju rutinitas, aktivitas membaca, interaksi sosial, dan kehidupan pesantren sehari-hari</w:t>
      </w:r>
      <w:r>
        <w:rPr>
          <w:rFonts w:ascii="Times New Roman" w:cs="Times New Roman" w:eastAsia="Times New Roman" w:hAnsi="Times New Roman"/>
          <w:sz w:val="24"/>
          <w:szCs w:val="24"/>
        </w:rPr>
        <w:t xml:space="preserve">.</w:t>
      </w:r>
    </w:p>
    <w:p>
      <w:pPr>
        <w:pStyle w:val="Heading3"/>
        <w:spacing w:after="160" w:before="280"/>
      </w:pPr>
      <w:r>
        <w:rPr>
          <w:rFonts w:ascii="Times New Roman" w:cs="Times New Roman" w:eastAsia="Times New Roman" w:hAnsi="Times New Roman"/>
          <w:b/>
          <w:bCs/>
          <w:i w:val="false"/>
          <w:iCs w:val="false"/>
          <w:sz w:val="26"/>
          <w:szCs w:val="26"/>
        </w:rPr>
        <w:t xml:space="preserve">b. Perbedaan Strategi</w:t>
      </w:r>
    </w:p>
    <w:p>
      <w:pPr>
        <w:keepNext w:val="false"/>
        <w:spacing w:after="200" w:line="360"/>
        <w:jc w:val="both"/>
      </w:pPr>
      <w:r>
        <w:rPr>
          <w:rFonts w:ascii="Times New Roman" w:cs="Times New Roman" w:eastAsia="Times New Roman" w:hAnsi="Times New Roman"/>
          <w:sz w:val="24"/>
          <w:szCs w:val="24"/>
        </w:rPr>
        <w:t xml:space="preserve">Situs 1 menunjukkan penekanan yang lebih kuat pada struktur dan regulasi rutinitas belajar melalui Target Bacaan Mingguan, Forum Mudzakarah Ilmiyyah, Belajar Malam Wajib, pengawasan, dan pendampingan.</w:t>
      </w:r>
    </w:p>
    <w:p>
      <w:pPr>
        <w:keepNext w:val="false"/>
        <w:spacing w:after="200" w:line="360"/>
        <w:jc w:val="both"/>
      </w:pPr>
      <w:r>
        <w:rPr>
          <w:rFonts w:ascii="Times New Roman" w:cs="Times New Roman" w:eastAsia="Times New Roman" w:hAnsi="Times New Roman"/>
          <w:sz w:val="24"/>
          <w:szCs w:val="24"/>
        </w:rPr>
        <w:t xml:space="preserve">Situs 2 menunjukkan penekanan yang lebih kuat pada budaya literasi, adaptasi terhadap kemampuan santri, variasi pengalaman belajar, Zona Literasi Turats, pembinaan membaca berdasarkan kemampuan, dan Lomba Literasi Turats.</w:t>
      </w:r>
    </w:p>
    <w:p>
      <w:pPr>
        <w:keepNext w:val="false"/>
        <w:spacing w:after="200" w:line="360"/>
        <w:jc w:val="both"/>
      </w:pPr>
      <w:r>
        <w:rPr>
          <w:rFonts w:ascii="Times New Roman" w:cs="Times New Roman" w:eastAsia="Times New Roman" w:hAnsi="Times New Roman"/>
          <w:sz w:val="24"/>
          <w:szCs w:val="24"/>
        </w:rPr>
        <w:t xml:space="preserve">Perbedaan tersebut dipahami sebagai </w:t>
      </w:r>
      <w:r>
        <w:rPr>
          <w:rFonts w:ascii="Times New Roman" w:cs="Times New Roman" w:eastAsia="Times New Roman" w:hAnsi="Times New Roman"/>
          <w:b/>
          <w:bCs/>
          <w:sz w:val="24"/>
          <w:szCs w:val="24"/>
        </w:rPr>
        <w:t xml:space="preserve">variasi mekanisme kelembagaan menuju fokus pembelajaran yang searah</w:t>
      </w:r>
      <w:r>
        <w:rPr>
          <w:rFonts w:ascii="Times New Roman" w:cs="Times New Roman" w:eastAsia="Times New Roman" w:hAnsi="Times New Roman"/>
          <w:sz w:val="24"/>
          <w:szCs w:val="24"/>
        </w:rPr>
        <w:t xml:space="preserve">, bukan sebagai perbedaan tingkat keunggulan.</w:t>
      </w:r>
    </w:p>
    <w:p>
      <w:pPr>
        <w:pStyle w:val="Heading2"/>
        <w:spacing w:after="200" w:before="360"/>
      </w:pPr>
      <w:r>
        <w:rPr>
          <w:rFonts w:ascii="Times New Roman" w:cs="Times New Roman" w:eastAsia="Times New Roman" w:hAnsi="Times New Roman"/>
          <w:b/>
          <w:bCs/>
          <w:sz w:val="28"/>
          <w:szCs w:val="28"/>
        </w:rPr>
        <w:t xml:space="preserve">2. Temuan Lintas Situs RM 2</w:t>
      </w:r>
    </w:p>
    <w:p>
      <w:pPr>
        <w:pStyle w:val="Heading3"/>
        <w:spacing w:after="160" w:before="280"/>
      </w:pPr>
      <w:r>
        <w:rPr>
          <w:rFonts w:ascii="Times New Roman" w:cs="Times New Roman" w:eastAsia="Times New Roman" w:hAnsi="Times New Roman"/>
          <w:b/>
          <w:bCs/>
          <w:i w:val="false"/>
          <w:iCs w:val="false"/>
          <w:sz w:val="26"/>
          <w:szCs w:val="26"/>
        </w:rPr>
        <w:t xml:space="preserve">a. Faktor Pendukung yang Konvergen</w:t>
      </w:r>
    </w:p>
    <w:p>
      <w:pPr>
        <w:keepNext w:val="false"/>
        <w:spacing w:after="200" w:line="360"/>
        <w:jc w:val="both"/>
      </w:pPr>
      <w:r>
        <w:rPr>
          <w:rFonts w:ascii="Times New Roman" w:cs="Times New Roman" w:eastAsia="Times New Roman" w:hAnsi="Times New Roman"/>
          <w:sz w:val="24"/>
          <w:szCs w:val="24"/>
        </w:rPr>
        <w:t xml:space="preserve">Kedua situs menunjukkan dukungan yang bersumber dari arah atau kebijakan pengasuh, kompetensi dan keteladanan ustaz, dukungan program kelembagaan, teman sebaya, kemauan personal santri, serta tersedianya ruang dan sumber belajar.</w:t>
      </w:r>
    </w:p>
    <w:p>
      <w:pPr>
        <w:keepNext w:val="false"/>
        <w:spacing w:after="200" w:line="360"/>
        <w:jc w:val="both"/>
      </w:pPr>
      <w:r>
        <w:rPr>
          <w:rFonts w:ascii="Times New Roman" w:cs="Times New Roman" w:eastAsia="Times New Roman" w:hAnsi="Times New Roman"/>
          <w:sz w:val="24"/>
          <w:szCs w:val="24"/>
        </w:rPr>
        <w:t xml:space="preserve">Keberlangsungan strategi tidak bertumpu pada satu faktor, melainkan kombinasi dukungan kelembagaan, pedagogis, sosial, personal, dan sumber belajar.</w:t>
      </w:r>
    </w:p>
    <w:p>
      <w:pPr>
        <w:keepNext w:val="false"/>
        <w:spacing w:after="200" w:line="360"/>
        <w:jc w:val="both"/>
      </w:pPr>
      <w:r>
        <w:rPr>
          <w:rFonts w:ascii="Times New Roman" w:cs="Times New Roman" w:eastAsia="Times New Roman" w:hAnsi="Times New Roman"/>
          <w:sz w:val="24"/>
          <w:szCs w:val="24"/>
        </w:rPr>
        <w:t xml:space="preserve">Pada Situs 1, dukungan kelembagaan lebih tampak melalui target, jadwal, forum, pengawasan, dan belajar malam. Pada Situs 2, dukungan kelembagaan lebih tampak melalui lingkungan literasi, penyesuaian kemampuan, kegiatan literasi, dan pengalaman kompetitif.</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 yang Konvergen</w:t>
      </w:r>
    </w:p>
    <w:p>
      <w:pPr>
        <w:keepNext w:val="false"/>
        <w:spacing w:after="200" w:line="360"/>
        <w:jc w:val="both"/>
      </w:pPr>
      <w:r>
        <w:rPr>
          <w:rFonts w:ascii="Times New Roman" w:cs="Times New Roman" w:eastAsia="Times New Roman" w:hAnsi="Times New Roman"/>
          <w:sz w:val="24"/>
          <w:szCs w:val="24"/>
        </w:rPr>
        <w:t xml:space="preserve">Kedua situs menghadapi heterogenitas kemampuan awal, keterbatasan waktu atau kepadatan kegiatan, serta potensi kelelahan atau kejenuhan.</w:t>
      </w:r>
    </w:p>
    <w:p>
      <w:pPr>
        <w:keepNext w:val="false"/>
        <w:spacing w:after="200" w:line="360"/>
        <w:jc w:val="both"/>
      </w:pPr>
      <w:r>
        <w:rPr>
          <w:rFonts w:ascii="Times New Roman" w:cs="Times New Roman" w:eastAsia="Times New Roman" w:hAnsi="Times New Roman"/>
          <w:sz w:val="24"/>
          <w:szCs w:val="24"/>
        </w:rPr>
        <w:t xml:space="preserve">Teknologi atau gadget muncul sebagai potensi distraksi kontekstual dalam kondisi tertentu. Pada Situs 2 terdapat pula kesulitan teks dan aktivitas lain di luar pembelajaran kitab. Dua faktor terakhir tidak digeneralisasikan kepada Situs 1.</w:t>
      </w:r>
    </w:p>
    <w:p>
      <w:pPr>
        <w:keepNext w:val="false"/>
        <w:spacing w:after="200" w:line="360"/>
        <w:jc w:val="both"/>
      </w:pPr>
      <w:r>
        <w:rPr>
          <w:rFonts w:ascii="Times New Roman" w:cs="Times New Roman" w:eastAsia="Times New Roman" w:hAnsi="Times New Roman"/>
          <w:sz w:val="24"/>
          <w:szCs w:val="24"/>
        </w:rPr>
        <w:t xml:space="preserve">Hambatan lintas situs terutama menunjukkan pentingnya menyesuaikan strategi dengan kesiapan santri serta keterbatasan waktu, energi, dan perhatian dalam kehidupan pesantren.</w:t>
      </w:r>
    </w:p>
    <w:p>
      <w:pPr>
        <w:pStyle w:val="Heading2"/>
        <w:spacing w:after="200" w:before="360"/>
      </w:pPr>
      <w:r>
        <w:rPr>
          <w:rFonts w:ascii="Times New Roman" w:cs="Times New Roman" w:eastAsia="Times New Roman" w:hAnsi="Times New Roman"/>
          <w:b/>
          <w:bCs/>
          <w:sz w:val="28"/>
          <w:szCs w:val="28"/>
        </w:rPr>
        <w:t xml:space="preserve">3. Temuan Lintas Situs RM 3</w:t>
      </w:r>
    </w:p>
    <w:p>
      <w:pPr>
        <w:pStyle w:val="Heading3"/>
        <w:spacing w:after="160" w:before="280"/>
      </w:pPr>
      <w:r>
        <w:rPr>
          <w:rFonts w:ascii="Times New Roman" w:cs="Times New Roman" w:eastAsia="Times New Roman" w:hAnsi="Times New Roman"/>
          <w:b/>
          <w:bCs/>
          <w:i w:val="false"/>
          <w:iCs w:val="false"/>
          <w:sz w:val="26"/>
          <w:szCs w:val="26"/>
        </w:rPr>
        <w:t xml:space="preserve">a. Minat Belajar</w:t>
      </w:r>
    </w:p>
    <w:p>
      <w:pPr>
        <w:keepNext w:val="false"/>
        <w:spacing w:after="200" w:line="360"/>
        <w:jc w:val="both"/>
      </w:pPr>
      <w:r>
        <w:rPr>
          <w:rFonts w:ascii="Times New Roman" w:cs="Times New Roman" w:eastAsia="Times New Roman" w:hAnsi="Times New Roman"/>
          <w:sz w:val="24"/>
          <w:szCs w:val="24"/>
        </w:rPr>
        <w:t xml:space="preserve">Pada kedua situs, minat ditelusuri melalui kombinasi perhatian, keterlibatan, membaca di luar jam formal, latihan, diskusi atau belajar bersama, konsistensi, inisiatif, kesungguhan, dan kemauan memperdalam kitab.</w:t>
      </w:r>
    </w:p>
    <w:p>
      <w:pPr>
        <w:keepNext w:val="false"/>
        <w:spacing w:after="200" w:line="360"/>
        <w:jc w:val="both"/>
      </w:pPr>
      <w:r>
        <w:rPr>
          <w:rFonts w:ascii="Times New Roman" w:cs="Times New Roman" w:eastAsia="Times New Roman" w:hAnsi="Times New Roman"/>
          <w:sz w:val="24"/>
          <w:szCs w:val="24"/>
        </w:rPr>
        <w:t xml:space="preserve">Kehadiran dibaca bersama indikator serta data lain dan tidak digunakan secara tunggal sebagai bukti minat, terutama pada kegiatan yang bersifat wajib.</w:t>
      </w:r>
    </w:p>
    <w:p>
      <w:pPr>
        <w:keepNext w:val="false"/>
        <w:spacing w:after="200" w:line="360"/>
        <w:jc w:val="both"/>
      </w:pPr>
      <w:r>
        <w:rPr>
          <w:rFonts w:ascii="Times New Roman" w:cs="Times New Roman" w:eastAsia="Times New Roman" w:hAnsi="Times New Roman"/>
          <w:sz w:val="24"/>
          <w:szCs w:val="24"/>
        </w:rPr>
        <w:t xml:space="preserve">Pada Situs 1, bentuk-bentuk minat lebih banyak tergambar di dalam konsistensi rutinitas, target, dan forum keilmuan. Pada Situs 2, bentuk tersebut lebih banyak tergambar melalui budaya literasi, kegiatan membaca di luar kelas, variasi pengalaman, dan pada sebagian santri pengalaman kompetitif.</w:t>
      </w:r>
    </w:p>
    <w:p>
      <w:pPr>
        <w:keepNext w:val="false"/>
        <w:spacing w:after="200" w:line="360"/>
        <w:jc w:val="both"/>
      </w:pPr>
      <w:r>
        <w:rPr>
          <w:rFonts w:ascii="Times New Roman" w:cs="Times New Roman" w:eastAsia="Times New Roman" w:hAnsi="Times New Roman"/>
          <w:sz w:val="24"/>
          <w:szCs w:val="24"/>
        </w:rPr>
        <w:t xml:space="preserve">Minat </w:t>
      </w:r>
      <w:r>
        <w:rPr>
          <w:rFonts w:ascii="Times New Roman" w:cs="Times New Roman" w:eastAsia="Times New Roman" w:hAnsi="Times New Roman"/>
          <w:b/>
          <w:bCs/>
          <w:sz w:val="24"/>
          <w:szCs w:val="24"/>
        </w:rPr>
        <w:t xml:space="preserve">tidak disamakan dengan engagement</w:t>
      </w:r>
      <w:r>
        <w:rPr>
          <w:rFonts w:ascii="Times New Roman" w:cs="Times New Roman" w:eastAsia="Times New Roman" w:hAnsi="Times New Roman"/>
          <w:sz w:val="24"/>
          <w:szCs w:val="24"/>
        </w:rPr>
        <w:t xml:space="preserve">. Keterlibatan merupakan salah satu jejak empiris yang dibaca bersama data lain untuk memahami minat.</w:t>
      </w:r>
    </w:p>
    <w:p>
      <w:pPr>
        <w:pStyle w:val="Heading3"/>
        <w:spacing w:after="160" w:before="280"/>
      </w:pPr>
      <w:r>
        <w:rPr>
          <w:rFonts w:ascii="Times New Roman" w:cs="Times New Roman" w:eastAsia="Times New Roman" w:hAnsi="Times New Roman"/>
          <w:b/>
          <w:bCs/>
          <w:i w:val="false"/>
          <w:iCs w:val="false"/>
          <w:sz w:val="26"/>
          <w:szCs w:val="26"/>
        </w:rPr>
        <w:t xml:space="preserve">b. Maharah Qira'ah</w:t>
      </w:r>
    </w:p>
    <w:p>
      <w:pPr>
        <w:keepNext w:val="false"/>
        <w:spacing w:after="200" w:line="360"/>
        <w:jc w:val="both"/>
      </w:pPr>
      <w:r>
        <w:rPr>
          <w:rFonts w:ascii="Times New Roman" w:cs="Times New Roman" w:eastAsia="Times New Roman" w:hAnsi="Times New Roman"/>
          <w:sz w:val="24"/>
          <w:szCs w:val="24"/>
        </w:rPr>
        <w:t xml:space="preserve">Kedua situs menunjukkan pengalaman membaca yang melibatkan teks tanpa harakat, koreksi bacaan, penggunaan nahwu-sharaf, pemahaman atau pemaknaan teks, latihan berulang, bimbingan ustaz, dan akumulasi pengalaman membaca.</w:t>
      </w:r>
    </w:p>
    <w:p>
      <w:pPr>
        <w:keepNext w:val="false"/>
        <w:spacing w:after="200" w:line="360"/>
        <w:jc w:val="both"/>
      </w:pPr>
      <w:r>
        <w:rPr>
          <w:rFonts w:ascii="Times New Roman" w:cs="Times New Roman" w:eastAsia="Times New Roman" w:hAnsi="Times New Roman"/>
          <w:sz w:val="24"/>
          <w:szCs w:val="24"/>
        </w:rPr>
        <w:t xml:space="preserve">Situs 1 lebih menonjolkan rutinitas, target bacaan, sorogan, pembacaan terbimbing, dan forum keilmuan. Situs 2 lebih menonjolkan pembinaan berdasarkan kemampuan, budaya literasi, latihan bertahap,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variasi kegiatan.</w:t>
      </w:r>
    </w:p>
    <w:p>
      <w:pPr>
        <w:keepNext w:val="false"/>
        <w:spacing w:after="200" w:line="360"/>
        <w:jc w:val="both"/>
      </w:pPr>
      <w:r>
        <w:rPr>
          <w:rFonts w:ascii="Times New Roman" w:cs="Times New Roman" w:eastAsia="Times New Roman" w:hAnsi="Times New Roman"/>
          <w:sz w:val="24"/>
          <w:szCs w:val="24"/>
        </w:rPr>
        <w:t xml:space="preserve">Perkembangan maharah qira'ah pada kedua situs tergambar bukan sebagai hasil satu metode tunggal, melainkan sebagai akumulasi pengalaman membaca yang memperoleh bimbingan, koreksi, pengulangan, dan kesempatan memahami teks.</w:t>
      </w:r>
    </w:p>
    <w:p>
      <w:pPr>
        <w:pStyle w:val="Heading2"/>
        <w:spacing w:after="200" w:before="360"/>
      </w:pPr>
      <w:r>
        <w:rPr>
          <w:rFonts w:ascii="Times New Roman" w:cs="Times New Roman" w:eastAsia="Times New Roman" w:hAnsi="Times New Roman"/>
          <w:b/>
          <w:bCs/>
          <w:sz w:val="28"/>
          <w:szCs w:val="28"/>
        </w:rPr>
        <w:t xml:space="preserve">4. Temuan Khas Masing-Masing Situs</w:t>
      </w:r>
    </w:p>
    <w:p>
      <w:pPr>
        <w:pStyle w:val="Heading3"/>
        <w:spacing w:after="160" w:before="280"/>
      </w:pPr>
      <w:r>
        <w:rPr>
          <w:rFonts w:ascii="Times New Roman" w:cs="Times New Roman" w:eastAsia="Times New Roman" w:hAnsi="Times New Roman"/>
          <w:b/>
          <w:bCs/>
          <w:i w:val="false"/>
          <w:iCs w:val="false"/>
          <w:sz w:val="26"/>
          <w:szCs w:val="26"/>
        </w:rPr>
        <w:t xml:space="preserve">a. Situs 1</w:t>
      </w:r>
    </w:p>
    <w:p>
      <w:pPr>
        <w:keepNext w:val="false"/>
        <w:spacing w:after="200" w:line="360"/>
        <w:jc w:val="both"/>
      </w:pPr>
      <w:r>
        <w:rPr>
          <w:rFonts w:ascii="Times New Roman" w:cs="Times New Roman" w:eastAsia="Times New Roman" w:hAnsi="Times New Roman"/>
          <w:sz w:val="24"/>
          <w:szCs w:val="24"/>
        </w:rPr>
        <w:t xml:space="preserve">Temuan khas Situs 1 mencakup Target Bacaan Mingguan sebagai bentuk pembiasaan membaca yang </w:t>
      </w:r>
      <w:r>
        <w:rPr>
          <w:rFonts w:ascii="Times New Roman" w:cs="Times New Roman" w:eastAsia="Times New Roman" w:hAnsi="Times New Roman"/>
          <w:b/>
          <w:bCs/>
          <w:sz w:val="24"/>
          <w:szCs w:val="24"/>
        </w:rPr>
        <w:t xml:space="preserve">terarah dan terstruktur</w:t>
      </w:r>
      <w:r>
        <w:rPr>
          <w:rFonts w:ascii="Times New Roman" w:cs="Times New Roman" w:eastAsia="Times New Roman" w:hAnsi="Times New Roman"/>
          <w:sz w:val="24"/>
          <w:szCs w:val="24"/>
        </w:rPr>
        <w:t xml:space="preserve">, Forum Mudzakarah Ilmiyyah sebagai ruang diskusi keilmuan dua kali seminggu, Belajar Malam Wajib sebagai waktu belajar khusus dengan pendampingan, orientasi strategi yang menonjol pada struktur dan rutinitas, serta forum keilmuan sebagai perluasan pembelajaran dari kegiatan klasikal menuju interaksi akademik.</w:t>
      </w:r>
    </w:p>
    <w:p>
      <w:pPr>
        <w:pStyle w:val="Heading3"/>
        <w:spacing w:after="160" w:before="280"/>
      </w:pPr>
      <w:r>
        <w:rPr>
          <w:rFonts w:ascii="Times New Roman" w:cs="Times New Roman" w:eastAsia="Times New Roman" w:hAnsi="Times New Roman"/>
          <w:b/>
          <w:bCs/>
          <w:i w:val="false"/>
          <w:iCs w:val="false"/>
          <w:sz w:val="26"/>
          <w:szCs w:val="26"/>
        </w:rPr>
        <w:t xml:space="preserve">b. Situs 2</w:t>
      </w:r>
    </w:p>
    <w:p>
      <w:pPr>
        <w:keepNext w:val="false"/>
        <w:spacing w:after="200" w:line="360"/>
        <w:jc w:val="both"/>
      </w:pPr>
      <w:r>
        <w:rPr>
          <w:rFonts w:ascii="Times New Roman" w:cs="Times New Roman" w:eastAsia="Times New Roman" w:hAnsi="Times New Roman"/>
          <w:sz w:val="24"/>
          <w:szCs w:val="24"/>
        </w:rPr>
        <w:t xml:space="preserve">Temuan khas Situs 2 mencakup Zona Literasi Turats sebagai pembiasaan membaca di luar pembelajaran formal, pembinaan membaca berdasarkan kemampuan sebagai respons terhadap variasi kemampuan santri, Lomba Literasi Turats sebagai kegiatan kompetitif yang memberi variasi pengalaman keilmuan, orientasi kuat pada budaya literasi dan adaptasi kemampuan, serta pengalaman kompetitif sebagai salah satu bentuk keterlibatan sebagian santri dengan kitab.</w:t>
      </w:r>
    </w:p>
    <w:p>
      <w:pPr>
        <w:pStyle w:val="Heading2"/>
        <w:spacing w:after="200" w:before="360"/>
      </w:pPr>
      <w:r>
        <w:rPr>
          <w:rFonts w:ascii="Times New Roman" w:cs="Times New Roman" w:eastAsia="Times New Roman" w:hAnsi="Times New Roman"/>
          <w:b/>
          <w:bCs/>
          <w:sz w:val="28"/>
          <w:szCs w:val="28"/>
        </w:rPr>
        <w:t xml:space="preserve">5. Pola Lintas Situs</w:t>
      </w:r>
    </w:p>
    <w:p>
      <w:pPr>
        <w:keepNext w:val="false"/>
        <w:spacing w:after="200" w:line="360"/>
        <w:jc w:val="both"/>
      </w:pPr>
      <w:r>
        <w:rPr>
          <w:rFonts w:ascii="Times New Roman" w:cs="Times New Roman" w:eastAsia="Times New Roman" w:hAnsi="Times New Roman"/>
          <w:b/>
          <w:bCs/>
          <w:sz w:val="24"/>
          <w:szCs w:val="24"/>
        </w:rPr>
        <w:t xml:space="preserve">Pola 1 — Strategi lingkungan pembelajaran bersifat ekosistemik dan multidimensional.</w:t>
      </w:r>
      <w:r>
        <w:rPr>
          <w:rFonts w:ascii="Times New Roman" w:cs="Times New Roman" w:eastAsia="Times New Roman" w:hAnsi="Times New Roman"/>
          <w:sz w:val="24"/>
          <w:szCs w:val="24"/>
        </w:rPr>
        <w:t xml:space="preserve"> Strategi tidak berdiri pada satu program, tetapi melibatkan kondisi fisik, sistem akademik, dukungan sosial, konteks religius, dan budaya pesantren.</w:t>
      </w:r>
    </w:p>
    <w:p>
      <w:pPr>
        <w:keepNext w:val="false"/>
        <w:spacing w:after="200" w:line="360"/>
        <w:jc w:val="both"/>
      </w:pPr>
      <w:r>
        <w:rPr>
          <w:rFonts w:ascii="Times New Roman" w:cs="Times New Roman" w:eastAsia="Times New Roman" w:hAnsi="Times New Roman"/>
          <w:b/>
          <w:bCs/>
          <w:sz w:val="24"/>
          <w:szCs w:val="24"/>
        </w:rPr>
        <w:t xml:space="preserve">Pola 2 — Pembiasaan interaksi dengan kitab muncul pada kedua situs melalui mekanisme berbeda.</w:t>
      </w:r>
      <w:r>
        <w:rPr>
          <w:rFonts w:ascii="Times New Roman" w:cs="Times New Roman" w:eastAsia="Times New Roman" w:hAnsi="Times New Roman"/>
          <w:sz w:val="24"/>
          <w:szCs w:val="24"/>
        </w:rPr>
        <w:t xml:space="preserve"> Situs 1 menekankan struktur dan rutinitas, sedangkan Situs 2 menekankan budaya literasi dan adaptasi kemampuan.</w:t>
      </w:r>
    </w:p>
    <w:p>
      <w:pPr>
        <w:keepNext w:val="false"/>
        <w:spacing w:after="200" w:line="360"/>
        <w:jc w:val="both"/>
      </w:pPr>
      <w:r>
        <w:rPr>
          <w:rFonts w:ascii="Times New Roman" w:cs="Times New Roman" w:eastAsia="Times New Roman" w:hAnsi="Times New Roman"/>
          <w:b/>
          <w:bCs/>
          <w:sz w:val="24"/>
          <w:szCs w:val="24"/>
        </w:rPr>
        <w:t xml:space="preserve">Pola 3 — Ustaz dan teman sebaya membentuk dua lapis pendampingan.</w:t>
      </w:r>
      <w:r>
        <w:rPr>
          <w:rFonts w:ascii="Times New Roman" w:cs="Times New Roman" w:eastAsia="Times New Roman" w:hAnsi="Times New Roman"/>
          <w:sz w:val="24"/>
          <w:szCs w:val="24"/>
        </w:rPr>
        <w:t xml:space="preserve"> Ustaz menyediakan bimbingan pedagogis dan koreksi, sedangkan teman sebaya menyediakan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dukungan sosial.</w:t>
      </w:r>
    </w:p>
    <w:p>
      <w:pPr>
        <w:keepNext w:val="false"/>
        <w:spacing w:after="200" w:line="360"/>
        <w:jc w:val="both"/>
      </w:pPr>
      <w:r>
        <w:rPr>
          <w:rFonts w:ascii="Times New Roman" w:cs="Times New Roman" w:eastAsia="Times New Roman" w:hAnsi="Times New Roman"/>
          <w:b/>
          <w:bCs/>
          <w:sz w:val="24"/>
          <w:szCs w:val="24"/>
        </w:rPr>
        <w:t xml:space="preserve">Pola 4 — Strategi perlu merespons heterogenitas kemampuan santri.</w:t>
      </w:r>
      <w:r>
        <w:rPr>
          <w:rFonts w:ascii="Times New Roman" w:cs="Times New Roman" w:eastAsia="Times New Roman" w:hAnsi="Times New Roman"/>
          <w:sz w:val="24"/>
          <w:szCs w:val="24"/>
        </w:rPr>
        <w:t xml:space="preserve"> Variasi kemampuan ditemukan pada kedua situs, tetapi Situs 2 menunjukkan pembinaan berdasarkan kemampuan secara lebih eksplisit.</w:t>
      </w:r>
    </w:p>
    <w:p>
      <w:pPr>
        <w:keepNext w:val="false"/>
        <w:spacing w:after="200" w:line="360"/>
        <w:jc w:val="both"/>
      </w:pPr>
      <w:r>
        <w:rPr>
          <w:rFonts w:ascii="Times New Roman" w:cs="Times New Roman" w:eastAsia="Times New Roman" w:hAnsi="Times New Roman"/>
          <w:b/>
          <w:bCs/>
          <w:sz w:val="24"/>
          <w:szCs w:val="24"/>
        </w:rPr>
        <w:t xml:space="preserve">Pola 5 — Minat, praktik membaca, dan perkembangan qira'ah menunjukkan hubungan yang dinamis.</w:t>
      </w:r>
      <w:r>
        <w:rPr>
          <w:rFonts w:ascii="Times New Roman" w:cs="Times New Roman" w:eastAsia="Times New Roman" w:hAnsi="Times New Roman"/>
          <w:sz w:val="24"/>
          <w:szCs w:val="24"/>
        </w:rPr>
        <w:t xml:space="preserve"> Ketertarikan dan keterlibatan dapat berkaitan dengan semakin luasnya kesempatan berinteraksi dengan kitab, sementara pengalaman membaca dan memahami teks dapat berkaitan dengan keterlibatan berikutnya. Pola tersebut merupakan interpretasi kualitatif dan bukan hubungan kausal linear.</w:t>
      </w:r>
    </w:p>
    <w:p>
      <w:pPr>
        <w:pStyle w:val="Heading2"/>
        <w:spacing w:after="200" w:before="360"/>
      </w:pPr>
      <w:r>
        <w:rPr>
          <w:rFonts w:ascii="Times New Roman" w:cs="Times New Roman" w:eastAsia="Times New Roman" w:hAnsi="Times New Roman"/>
          <w:b/>
          <w:bCs/>
          <w:sz w:val="28"/>
          <w:szCs w:val="28"/>
        </w:rPr>
        <w:t xml:space="preserve">6. Proposisi Lintas Situs</w:t>
      </w:r>
    </w:p>
    <w:p>
      <w:pPr>
        <w:keepNext w:val="false"/>
        <w:spacing w:after="200" w:line="360"/>
        <w:jc w:val="both"/>
      </w:pPr>
      <w:r>
        <w:rPr>
          <w:rFonts w:ascii="Times New Roman" w:cs="Times New Roman" w:eastAsia="Times New Roman" w:hAnsi="Times New Roman"/>
          <w:b/>
          <w:bCs/>
          <w:sz w:val="24"/>
          <w:szCs w:val="24"/>
        </w:rPr>
        <w:t xml:space="preserve">Proposisi 1 — RM 1.</w:t>
      </w:r>
      <w:r>
        <w:rPr>
          <w:rFonts w:ascii="Times New Roman" w:cs="Times New Roman" w:eastAsia="Times New Roman" w:hAnsi="Times New Roman"/>
          <w:sz w:val="24"/>
          <w:szCs w:val="24"/>
        </w:rPr>
        <w:t xml:space="preserve"> Strategi lingkungan pembelajaran yang memperoleh dukungan kelembagaan dan diintegrasikan dalam kehidupan pesantren cenderung menyediakan kesempatan interaksi santri dengan kitab secara lebih teratur dan luas.</w:t>
      </w:r>
    </w:p>
    <w:p>
      <w:pPr>
        <w:keepNext w:val="false"/>
        <w:spacing w:after="200" w:line="360"/>
        <w:jc w:val="both"/>
      </w:pPr>
      <w:r>
        <w:rPr>
          <w:rFonts w:ascii="Times New Roman" w:cs="Times New Roman" w:eastAsia="Times New Roman" w:hAnsi="Times New Roman"/>
          <w:b/>
          <w:bCs/>
          <w:sz w:val="24"/>
          <w:szCs w:val="24"/>
        </w:rPr>
        <w:t xml:space="preserve">Proposisi 2 — RM 1.</w:t>
      </w:r>
      <w:r>
        <w:rPr>
          <w:rFonts w:ascii="Times New Roman" w:cs="Times New Roman" w:eastAsia="Times New Roman" w:hAnsi="Times New Roman"/>
          <w:sz w:val="24"/>
          <w:szCs w:val="24"/>
        </w:rPr>
        <w:t xml:space="preserve"> Pembiasaan berinteraksi dengan kitab di dalam maupun di luar pembelajaran formal berkaitan dengan keterlibatan santri dalam aktivitas pembelajaran kitab turats.</w:t>
      </w:r>
    </w:p>
    <w:p>
      <w:pPr>
        <w:keepNext w:val="false"/>
        <w:spacing w:after="200" w:line="360"/>
        <w:jc w:val="both"/>
      </w:pPr>
      <w:r>
        <w:rPr>
          <w:rFonts w:ascii="Times New Roman" w:cs="Times New Roman" w:eastAsia="Times New Roman" w:hAnsi="Times New Roman"/>
          <w:b/>
          <w:bCs/>
          <w:sz w:val="24"/>
          <w:szCs w:val="24"/>
        </w:rPr>
        <w:t xml:space="preserve">Proposisi 3 — RM 1.</w:t>
      </w:r>
      <w:r>
        <w:rPr>
          <w:rFonts w:ascii="Times New Roman" w:cs="Times New Roman" w:eastAsia="Times New Roman" w:hAnsi="Times New Roman"/>
          <w:sz w:val="24"/>
          <w:szCs w:val="24"/>
        </w:rPr>
        <w:t xml:space="preserve"> Bimbingan ustaz dan interaksi teman sebaya merupakan komponen sosial yang melengkapi struktur akademik dalam lingkungan pembelajaran kitab.</w:t>
      </w:r>
    </w:p>
    <w:p>
      <w:pPr>
        <w:keepNext w:val="false"/>
        <w:spacing w:after="200" w:line="360"/>
        <w:jc w:val="both"/>
      </w:pPr>
      <w:r>
        <w:rPr>
          <w:rFonts w:ascii="Times New Roman" w:cs="Times New Roman" w:eastAsia="Times New Roman" w:hAnsi="Times New Roman"/>
          <w:b/>
          <w:bCs/>
          <w:sz w:val="24"/>
          <w:szCs w:val="24"/>
        </w:rPr>
        <w:t xml:space="preserve">Proposisi 4 — RM 2.</w:t>
      </w:r>
      <w:r>
        <w:rPr>
          <w:rFonts w:ascii="Times New Roman" w:cs="Times New Roman" w:eastAsia="Times New Roman" w:hAnsi="Times New Roman"/>
          <w:sz w:val="24"/>
          <w:szCs w:val="24"/>
        </w:rPr>
        <w:t xml:space="preserve"> Heterogenitas kemampuan santri memerlukan pendampingan dan pengelolaan pembelajaran yang responsif terhadap perbedaan kebutuhan belajar.</w:t>
      </w:r>
    </w:p>
    <w:p>
      <w:pPr>
        <w:keepNext w:val="false"/>
        <w:spacing w:after="200" w:line="360"/>
        <w:jc w:val="both"/>
      </w:pPr>
      <w:r>
        <w:rPr>
          <w:rFonts w:ascii="Times New Roman" w:cs="Times New Roman" w:eastAsia="Times New Roman" w:hAnsi="Times New Roman"/>
          <w:b/>
          <w:bCs/>
          <w:sz w:val="24"/>
          <w:szCs w:val="24"/>
        </w:rPr>
        <w:t xml:space="preserve">Proposisi 5 — RM 2.</w:t>
      </w:r>
      <w:r>
        <w:rPr>
          <w:rFonts w:ascii="Times New Roman" w:cs="Times New Roman" w:eastAsia="Times New Roman" w:hAnsi="Times New Roman"/>
          <w:sz w:val="24"/>
          <w:szCs w:val="24"/>
        </w:rPr>
        <w:t xml:space="preserve"> Keterbatasan waktu, kepadatan kegiatan, kejenuhan, dan potensi distraksi teknologi dapat membatasi keterlibatan belajar dalam kondisi tertentu.</w:t>
      </w:r>
    </w:p>
    <w:p>
      <w:pPr>
        <w:keepNext w:val="false"/>
        <w:spacing w:after="200" w:line="360"/>
        <w:jc w:val="both"/>
      </w:pPr>
      <w:r>
        <w:rPr>
          <w:rFonts w:ascii="Times New Roman" w:cs="Times New Roman" w:eastAsia="Times New Roman" w:hAnsi="Times New Roman"/>
          <w:b/>
          <w:bCs/>
          <w:sz w:val="24"/>
          <w:szCs w:val="24"/>
        </w:rPr>
        <w:t xml:space="preserve">Proposisi 6 — RM 3.</w:t>
      </w:r>
      <w:r>
        <w:rPr>
          <w:rFonts w:ascii="Times New Roman" w:cs="Times New Roman" w:eastAsia="Times New Roman" w:hAnsi="Times New Roman"/>
          <w:sz w:val="24"/>
          <w:szCs w:val="24"/>
        </w:rPr>
        <w:t xml:space="preserve"> Interaksi santri yang lebih teratur dan luas dengan aktivitas membaca kitab berkaitan dengan pengalaman membaca teks tanpa harakat, penerapan kaidah, dan pemahaman teks.</w:t>
      </w:r>
    </w:p>
    <w:p>
      <w:pPr>
        <w:keepNext w:val="false"/>
        <w:spacing w:after="200" w:line="360"/>
        <w:jc w:val="both"/>
      </w:pPr>
      <w:r>
        <w:rPr>
          <w:rFonts w:ascii="Times New Roman" w:cs="Times New Roman" w:eastAsia="Times New Roman" w:hAnsi="Times New Roman"/>
          <w:b/>
          <w:bCs/>
          <w:sz w:val="24"/>
          <w:szCs w:val="24"/>
        </w:rPr>
        <w:t xml:space="preserve">Proposisi 7 — RM 3.</w:t>
      </w:r>
      <w:r>
        <w:rPr>
          <w:rFonts w:ascii="Times New Roman" w:cs="Times New Roman" w:eastAsia="Times New Roman" w:hAnsi="Times New Roman"/>
          <w:sz w:val="24"/>
          <w:szCs w:val="24"/>
        </w:rPr>
        <w:t xml:space="preserve"> Implikasi strategi terhadap minat dan perkembangan maharah qira'ah terbentuk melalui kombinasi pembiasaan, bimbingan, latihan, dan interaksi sosial, bukan melalui satu program tunggal.</w:t>
      </w:r>
    </w:p>
    <w:p>
      <w:pPr>
        <w:spacing w:after="120" w:before="200"/>
      </w:pPr>
      <w:r>
        <w:rPr>
          <w:rFonts w:ascii="Times New Roman" w:cs="Times New Roman" w:eastAsia="Times New Roman" w:hAnsi="Times New Roman"/>
          <w:b/>
          <w:bCs/>
          <w:i/>
          <w:iCs/>
          <w:sz w:val="24"/>
          <w:szCs w:val="24"/>
        </w:rPr>
        <w:t xml:space="preserve">Tabel 4.1 Perbandingan Temuan Lintas Situs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500"/>
      </w:tblGrid>
      <w:tr>
        <w:tc>
          <w:tcPr>
            <w:tcW w:type="dxa" w:w="17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Aspek</w:t>
            </w:r>
          </w:p>
        </w:tc>
        <w:tc>
          <w:tcPr>
            <w:tcW w:type="dxa" w:w="26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Situs 1: An-Najiyah II</w:t>
            </w:r>
          </w:p>
        </w:tc>
        <w:tc>
          <w:tcPr>
            <w:tcW w:type="dxa" w:w="26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Situs 2: Asy-Syafa'ah</w:t>
            </w:r>
          </w:p>
        </w:tc>
        <w:tc>
          <w:tcPr>
            <w:tcW w:type="dxa" w:w="2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Pola Lintas Situs</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Orientasi strategi</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Struktur, rutinitas, target, pengawasan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Budaya literasi, adaptasi kemampuan, variasi kegiatan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Strategi multidimensional menuju perluasan interaksi dengan kitab</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Pembiasaan membaca</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Target Bacaan Mingguan, Belajar Malam Wajib</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Zona Literasi Turats, pembinaan bertahap</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Pembiasaan hadir pada kedua situs dengan mekanisme berbeda</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Pendampingan ustaz</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Sorogan, bandongan/wetonan, koreksi dan bimbingan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Bimbingan, koreksi, penyesuaian kemampuan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Ustaz sebagai lapis pendampingan pedagogis</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Peer learning</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Belajar bersama dan bantuan senior-junior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Bantuan senior-junior dan belajar bersama</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Teman sebaya sebagai lapis dukungan sosial</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Faktor pendukung</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Pengasuh, ustaz, program, teman sebaya, sumber belajar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Pengasuh, ustaz, lingkungan literasi, teman sebaya, sumber belajar</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Dukungan kelembagaan, pedagogis, sosial, personal, dan sumber</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Faktor penghambat</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Heterogenitas kemampuan, kepadatan, kejenuhan, potensi distraksi teknologi</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Heterogenitas, kesulitan kitab, waktu, kejenuhan, aktivitas lain, potensi distraksi teknologi</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Kesiapan santri dan keterbatasan waktu/energi/perhatian</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Minat belajar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Rutinitas, target, forum, inisiatif, perhatian dan keterlibatan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Budaya literasi, variasi kegiatan, inisiatif, perhatian dan keterlibatan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Minat dibaca melalui kombinasi jejak empiris, bukan kehadiran saja</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Maharah qira'ah</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Rutinitas, target, sorogan, bimbingan dan forum</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Pembinaan bertahap, latihan, peer learning dan literasi</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Akumulasi pengalaman membaca, bimbingan, koreksi dan pengulangan</w:t>
            </w:r>
          </w:p>
        </w:tc>
      </w:tr>
    </w:tbl>
    <w:p>
      <w:pPr>
        <w:spacing w:after="200"/>
      </w:pPr>
      <w:r>
        <w:rPr>
          <w:sz w:val="22"/>
          <w:szCs w:val="22"/>
        </w:rPr>
        <w:t xml:space="preserve"/>
      </w:r>
    </w:p>
    <w:p>
      <w:pPr>
        <w:pStyle w:val="Heading1"/>
        <w:spacing w:after="240" w:before="480"/>
      </w:pPr>
      <w:r>
        <w:rPr>
          <w:rFonts w:ascii="Times New Roman" w:cs="Times New Roman" w:eastAsia="Times New Roman" w:hAnsi="Times New Roman"/>
          <w:b/>
          <w:bCs/>
          <w:sz w:val="32"/>
          <w:szCs w:val="32"/>
        </w:rPr>
        <w:t xml:space="preserve">F. Pembahasan</w:t>
      </w:r>
    </w:p>
    <w:p>
      <w:pPr>
        <w:pStyle w:val="Heading2"/>
        <w:spacing w:after="200" w:before="360"/>
      </w:pPr>
      <w:r>
        <w:rPr>
          <w:rFonts w:ascii="Times New Roman" w:cs="Times New Roman" w:eastAsia="Times New Roman" w:hAnsi="Times New Roman"/>
          <w:b/>
          <w:bCs/>
          <w:sz w:val="28"/>
          <w:szCs w:val="28"/>
        </w:rPr>
        <w:t xml:space="preserve">1. Pembahasan Rumusan Masalah 1: Strategi Lingkungan Pembelajaran Pesantren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Pembelajaran sebagai Ekosistem Strategis</w:t>
      </w:r>
    </w:p>
    <w:p>
      <w:pPr>
        <w:keepNext w:val="false"/>
        <w:spacing w:after="200" w:line="360"/>
        <w:jc w:val="both"/>
      </w:pPr>
      <w:r>
        <w:rPr>
          <w:rFonts w:ascii="Times New Roman" w:cs="Times New Roman" w:eastAsia="Times New Roman" w:hAnsi="Times New Roman"/>
          <w:sz w:val="24"/>
          <w:szCs w:val="24"/>
        </w:rPr>
        <w:t xml:space="preserve">Temuan lintas situs menunjukkan bahwa pembelajaran kitab turats pada kedua pesantren tidak berlangsung melalui satu program tunggal, melainkan melalui konfigurasi ruang, jadwal, aktivitas, pendampingan, interaksi sosial, nilai religius, dan akses terhadap kitab yang saling terkait. Data ini sejalan dengan pandangan bahwa lingkungan belajar merupakan sistem yang berinteraksi secara dinamis dengan perilaku belajar peserta didik, bukan sekadar latar yang pasif (Li &amp; Xue, 2023). Villarreal Arroyo, Peñabaena-Niebles, dan Berdugo Correa (2023) menegaskan bahwa kondisi fisik ruang belajar berkaitan dengan proses belajar peserta didik, namun temuan multisitus ini memperluas pembacaan tersebut: ruang dan fasilitas pada kedua pesantren hanya menjadi bermakna secara pedagogis ketika terhubung dengan sistem, aktivitas, dan budaya belajar yang menyertainya. Dengan demikian, lingkungan pembelajaran pesantren dapat dipahami sebagai ekosistem strategis, bukan sekadar kumpulan fasilitas fisik.</w:t>
      </w:r>
    </w:p>
    <w:p>
      <w:pPr>
        <w:pStyle w:val="Heading3"/>
        <w:spacing w:after="160" w:before="280"/>
      </w:pPr>
      <w:r>
        <w:rPr>
          <w:rFonts w:ascii="Times New Roman" w:cs="Times New Roman" w:eastAsia="Times New Roman" w:hAnsi="Times New Roman"/>
          <w:b/>
          <w:bCs/>
          <w:i w:val="false"/>
          <w:iCs w:val="false"/>
          <w:sz w:val="26"/>
          <w:szCs w:val="26"/>
        </w:rPr>
        <w:t xml:space="preserve">b. Integrasi Dimensi Fisik, Akademik, Sosial, dan Religius</w:t>
      </w:r>
    </w:p>
    <w:p>
      <w:pPr>
        <w:keepNext w:val="false"/>
        <w:spacing w:after="200" w:line="360"/>
        <w:jc w:val="both"/>
      </w:pPr>
      <w:r>
        <w:rPr>
          <w:rFonts w:ascii="Times New Roman" w:cs="Times New Roman" w:eastAsia="Times New Roman" w:hAnsi="Times New Roman"/>
          <w:sz w:val="24"/>
          <w:szCs w:val="24"/>
        </w:rPr>
        <w:t xml:space="preserve">Data pada kedua situs menggambarkan bahwa dimensi fisik, akademik, sosial, dan religius tidak berdiri sendiri-sendiri, melainkan saling terhubung melalui konteks budaya pesantren berupa pembiasaan, kedisiplinan, adab, dan tradisi keilmuan. Kondisi ini berkaitan dengan temuan Nashihin, Majeed, Derysmono, Armadi, dan Syukur (2025) mengenai peran kultur pesantren dalam menghubungkan lingkungan, kegiatan religius, hubungan interpersonal, dan kehidupan akademik. Budiman, Anwar, Zarkasyi, dan Lateh (2025) juga menempatkan pesantren sebagai konteks kelembagaan dengan tradisi intelektual-spiritual yang menopang kurikulum dan metodologinya. Data multisitus penelitian ini memperkuat posisi tersebut sekaligus menegaskan bahwa budaya pesantren berfungsi sebagai konteks lintas dimensi yang menghubungkan keempat dimensi tersebut, bukan sebagai dimensi kelima yang berdiri sendiri.</w:t>
      </w:r>
    </w:p>
    <w:p>
      <w:pPr>
        <w:pStyle w:val="Heading3"/>
        <w:spacing w:after="160" w:before="280"/>
      </w:pPr>
      <w:r>
        <w:rPr>
          <w:rFonts w:ascii="Times New Roman" w:cs="Times New Roman" w:eastAsia="Times New Roman" w:hAnsi="Times New Roman"/>
          <w:b/>
          <w:bCs/>
          <w:i w:val="false"/>
          <w:iCs w:val="false"/>
          <w:sz w:val="26"/>
          <w:szCs w:val="26"/>
        </w:rPr>
        <w:t xml:space="preserve">c. Dua Variasi Mekanisme Kelembagaan pada Kedua Situs</w:t>
      </w:r>
    </w:p>
    <w:p>
      <w:pPr>
        <w:keepNext w:val="false"/>
        <w:spacing w:after="200" w:line="360"/>
        <w:jc w:val="both"/>
      </w:pPr>
      <w:r>
        <w:rPr>
          <w:rFonts w:ascii="Times New Roman" w:cs="Times New Roman" w:eastAsia="Times New Roman" w:hAnsi="Times New Roman"/>
          <w:sz w:val="24"/>
          <w:szCs w:val="24"/>
        </w:rPr>
        <w:t xml:space="preserve">Situs 1 menunjukkan penekanan pada struktur, rutinitas, target, pengawasan, pendampingan, dan forum keilmuan melalui Target Bacaan Mingguan, Forum Mudzakarah Ilmiyyah, dan Belajar Malam Wajib. Situs 2 menunjukkan penekanan pada budaya literasi, adaptasi kemampuan, variasi kegiatan, dan pengalaman kompetitif melalui Zona Literasi Turats, pembinaan membaca bertahap, dan Lomba Literasi Turats. Kedua pola tersebut menuju fokus pembelajaran yang searah, yaitu perluasan interaksi santri dengan kitab, melalui mekanisme kelembagaan yang berbeda. Amrullah dan Mutholingah (2025) menggambarkan bagaimana pembelajaran kitab turats di Sidogiri dijalankan melalui struktur kegiatan yang dipadukan dengan adaptasi pedagogis terhadap kebutuhan kontemporer; temuan multisitus ini memperkuat gambaran tersebut sekaligus menunjukkan bahwa struktur kegiatan dapat terwujud dalam variasi mekanisme kelembagaan yang berbeda pada konteks pesantren yang berbeda. Variasi ini dipahami sebagai dua variasi kontekstual mekanisme kelembagaan dalam penelitian multisitus, bukan sebagai tipologi universal atau bukti keunggulan salah satu pesantren.</w:t>
      </w:r>
    </w:p>
    <w:p>
      <w:pPr>
        <w:pStyle w:val="Heading3"/>
        <w:spacing w:after="160" w:before="280"/>
      </w:pPr>
      <w:r>
        <w:rPr>
          <w:rFonts w:ascii="Times New Roman" w:cs="Times New Roman" w:eastAsia="Times New Roman" w:hAnsi="Times New Roman"/>
          <w:b/>
          <w:bCs/>
          <w:i w:val="false"/>
          <w:iCs w:val="false"/>
          <w:sz w:val="26"/>
          <w:szCs w:val="26"/>
        </w:rPr>
        <w:t xml:space="preserve">d. Pembiasaan, Pendampingan, dan Interaksi Sosial</w:t>
      </w:r>
    </w:p>
    <w:p>
      <w:pPr>
        <w:keepNext w:val="false"/>
        <w:spacing w:after="200" w:line="360"/>
        <w:jc w:val="both"/>
      </w:pPr>
      <w:r>
        <w:rPr>
          <w:rFonts w:ascii="Times New Roman" w:cs="Times New Roman" w:eastAsia="Times New Roman" w:hAnsi="Times New Roman"/>
          <w:sz w:val="24"/>
          <w:szCs w:val="24"/>
        </w:rPr>
        <w:t xml:space="preserve">Pada kedua situs, pendampingan pedagogis berlangsung melalui pembacaan kitab, penjelasan, bimbingan, koreksi, dan latihan. Pada Situs 1 mekanisme tersebut mencakup sorogan, bandongan/wetonan, dan pembacaan terbimbing, sedangkan pada Situs 2 lebih tergambar melalui bandongan/pengajian, pembacaan di hadapan ustaz, halaqah, dan latihan membaca. Pada kedua situs,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menjadi lapis dukungan sosial melalui bantuan antarsantri, termasuk bantuan santri senior kepada santri junior. Pola ini berkaitan dengan temuan Arif, Harun, dan Nor Abd Aziz (2023) mengenai variasi metode pembelajaran kitab kuning berupa sorogan, bandongan, mudzakarah, dan halaqah, serta dengan Cahyadi, Yunani, Dachlan, dan Suhendra (2025) yang menempatkan sorogan-bandongan sebagai mekanisme transmisi pengetahuan dalam relasi kiai-santri. Dukungan konseptual mengenai peran pembelajaran sebaya sebagai penguat proses belajar juga diberikan oleh Bengesai, Amusa, dan Dhunpath (2023), meskipun konteks penelitian tersebut bukan pesantren dan tidak digunakan untuk mengimpor besaran efek apa pun ke dalam penelitian ini. Dukungan pedagogis ustaz dan dukungan sosial teman sebaya pada kedua situs berkaitan dengan gambaran Vargas-Madriz, Konishi, dan Wong (2024) bahwa dukungan informasional, instrumental, </w:t>
      </w:r>
      <w:r>
        <w:rPr>
          <w:rFonts w:ascii="Times New Roman" w:cs="Times New Roman" w:eastAsia="Times New Roman" w:hAnsi="Times New Roman"/>
          <w:i/>
          <w:iCs/>
          <w:sz w:val="24"/>
          <w:szCs w:val="24"/>
        </w:rPr>
        <w:t xml:space="preserve">appraisal</w:t>
      </w:r>
      <w:r>
        <w:rPr>
          <w:rFonts w:ascii="Times New Roman" w:cs="Times New Roman" w:eastAsia="Times New Roman" w:hAnsi="Times New Roman"/>
          <w:sz w:val="24"/>
          <w:szCs w:val="24"/>
        </w:rPr>
        <w:t xml:space="preserve"> (umpan balik/evaluatif), dan emosional dari pendidik diasosiasikan dengan keterlibatan peserta didik.</w:t>
      </w:r>
    </w:p>
    <w:p>
      <w:pPr>
        <w:pStyle w:val="Heading3"/>
        <w:spacing w:after="160" w:before="280"/>
      </w:pPr>
      <w:r>
        <w:rPr>
          <w:rFonts w:ascii="Times New Roman" w:cs="Times New Roman" w:eastAsia="Times New Roman" w:hAnsi="Times New Roman"/>
          <w:b/>
          <w:bCs/>
          <w:i w:val="false"/>
          <w:iCs w:val="false"/>
          <w:sz w:val="26"/>
          <w:szCs w:val="26"/>
        </w:rPr>
        <w:t xml:space="preserve">e. Strategi Lingkungan dan Minat Belajar Kitab Turats</w:t>
      </w:r>
    </w:p>
    <w:p>
      <w:pPr>
        <w:keepNext w:val="false"/>
        <w:spacing w:after="200" w:line="360"/>
        <w:jc w:val="both"/>
      </w:pPr>
      <w:r>
        <w:rPr>
          <w:rFonts w:ascii="Times New Roman" w:cs="Times New Roman" w:eastAsia="Times New Roman" w:hAnsi="Times New Roman"/>
          <w:sz w:val="24"/>
          <w:szCs w:val="24"/>
        </w:rPr>
        <w:t xml:space="preserve">Data menunjukkan bahwa strategi lingkungan menyediakan kondisi dan kesempatan yang berkaitan dengan ketertarikan, perhatian, keterlibatan, konsistensi, inisiatif, dan interaksi santri dengan kitab. Guo dan Fryer (2025) mengidentifikasi relevansi/kebermaknaan, variasi, aktivasi kognitif, interaksi sosial, aktivitas langsung, dan pilihan sebagai sumber yang sering diteliti dalam </w:t>
      </w:r>
      <w:r>
        <w:rPr>
          <w:rFonts w:ascii="Times New Roman" w:cs="Times New Roman" w:eastAsia="Times New Roman" w:hAnsi="Times New Roman"/>
          <w:i/>
          <w:iCs/>
          <w:sz w:val="24"/>
          <w:szCs w:val="24"/>
        </w:rPr>
        <w:t xml:space="preserve">situational interest</w:t>
      </w:r>
      <w:r>
        <w:rPr>
          <w:rFonts w:ascii="Times New Roman" w:cs="Times New Roman" w:eastAsia="Times New Roman" w:hAnsi="Times New Roman"/>
          <w:sz w:val="24"/>
          <w:szCs w:val="24"/>
        </w:rPr>
        <w:t xml:space="preserve">. Dalam data penelitian ini, beberapa unsur yang paling relevan untuk pembacaan temuan ialah variasi aktivitas, interaksi sosial, serta aktivitas akademik yang menuntut keterlibatan kognitif melalui membaca, diskusi, dan latihan. Keenam sumber yang dirumuskan dalam kajian tersebut tidak diperlakukan sebagai indikator yang seluruhnya harus muncul dalam data penelitian. Ilmiani, Miolo, Hunainah, dan Maghfurin (2022) menekankan bahwa kesempatan membaca dan pendampingan berkaitan dengan aktivitas literasi, sejalan dengan Zona Literasi Turats pada Situs 2 dan Target Bacaan Mingguan pada Situs 1, meskipun data tidak menunjukkan bahwa kesempatan tersebut secara langsung menyebabkan peningkatan minat.</w:t>
      </w:r>
    </w:p>
    <w:p>
      <w:pPr>
        <w:pStyle w:val="Heading3"/>
        <w:spacing w:after="160" w:before="280"/>
      </w:pPr>
      <w:r>
        <w:rPr>
          <w:rFonts w:ascii="Times New Roman" w:cs="Times New Roman" w:eastAsia="Times New Roman" w:hAnsi="Times New Roman"/>
          <w:b/>
          <w:bCs/>
          <w:i w:val="false"/>
          <w:iCs w:val="false"/>
          <w:sz w:val="26"/>
          <w:szCs w:val="26"/>
        </w:rPr>
        <w:t xml:space="preserve">f. Sintesis Pembahasan RM 1</w:t>
      </w:r>
    </w:p>
    <w:p>
      <w:pPr>
        <w:keepNext w:val="false"/>
        <w:spacing w:after="200" w:line="360"/>
        <w:jc w:val="both"/>
      </w:pPr>
      <w:r>
        <w:rPr>
          <w:rFonts w:ascii="Times New Roman" w:cs="Times New Roman" w:eastAsia="Times New Roman" w:hAnsi="Times New Roman"/>
          <w:sz w:val="24"/>
          <w:szCs w:val="24"/>
        </w:rPr>
        <w:t xml:space="preserve">Data multisitus mengindikasikan bahwa strategi lingkungan pembelajaran pesantren bekerja sebagai konfigurasi ekosistemik yang mengintegrasikan dimensi fisik, akademik, sosial, dan religius dalam konteks budaya pesantren, dan bahwa fokus pembelajaran yang searah pada kedua situs dapat ditopang melalui dua variasi mekanisme kelembagaan yang berbeda. Strategi tersebut menyediakan kondisi dan kesempatan yang berkaitan dengan minat belajar kitab turats, tanpa dapat dimaknai sebagai hubungan sebab-akibat yang bersifat deterministik.</w:t>
      </w:r>
    </w:p>
    <w:p>
      <w:pPr>
        <w:pStyle w:val="Heading2"/>
        <w:spacing w:after="200" w:before="360"/>
      </w:pPr>
      <w:r>
        <w:rPr>
          <w:rFonts w:ascii="Times New Roman" w:cs="Times New Roman" w:eastAsia="Times New Roman" w:hAnsi="Times New Roman"/>
          <w:b/>
          <w:bCs/>
          <w:sz w:val="28"/>
          <w:szCs w:val="28"/>
        </w:rPr>
        <w:t xml:space="preserve">2. Pembahasan Rumusan Masalah 2: Faktor Pendukung dan Penghambat Strategi Lingkungan Pembelajaran Pesantren</w:t>
      </w:r>
    </w:p>
    <w:p>
      <w:pPr>
        <w:pStyle w:val="Heading3"/>
        <w:spacing w:after="160" w:before="280"/>
      </w:pPr>
      <w:r>
        <w:rPr>
          <w:rFonts w:ascii="Times New Roman" w:cs="Times New Roman" w:eastAsia="Times New Roman" w:hAnsi="Times New Roman"/>
          <w:b/>
          <w:bCs/>
          <w:i w:val="false"/>
          <w:iCs w:val="false"/>
          <w:sz w:val="26"/>
          <w:szCs w:val="26"/>
        </w:rPr>
        <w:t xml:space="preserve">a. Dukungan Kebijakan dan Arah Pengasuh</w:t>
      </w:r>
    </w:p>
    <w:p>
      <w:pPr>
        <w:keepNext w:val="false"/>
        <w:spacing w:after="200" w:line="360"/>
        <w:jc w:val="both"/>
      </w:pPr>
      <w:r>
        <w:rPr>
          <w:rFonts w:ascii="Times New Roman" w:cs="Times New Roman" w:eastAsia="Times New Roman" w:hAnsi="Times New Roman"/>
          <w:sz w:val="24"/>
          <w:szCs w:val="24"/>
        </w:rPr>
        <w:t xml:space="preserve">Pada kedua situs, arah dan kebijakan pengasuh berkaitan dengan penetapan program serta orientasi strategi lingkungan pembelajaran. Kondisi ini memperoleh konteks pembanding dari Nashihin dkk. (2025), yang membahas keterkaitan kultur dan lingkungan pesantren dengan kegiatan religius, hubungan interpersonal, dan kehidupan akademik pada konteks penelitian mereka. Data multisitus tidak menempatkan arah pengasuh sebagai faktor determinan tunggal, melainkan sebagai salah satu lapisan dukungan kelembagaan yang berkaitan dengan lapisan pedagogis, sosial, personal, dan sumber belajar lainnya.</w:t>
      </w:r>
    </w:p>
    <w:p>
      <w:pPr>
        <w:pStyle w:val="Heading3"/>
        <w:spacing w:after="160" w:before="280"/>
      </w:pPr>
      <w:r>
        <w:rPr>
          <w:rFonts w:ascii="Times New Roman" w:cs="Times New Roman" w:eastAsia="Times New Roman" w:hAnsi="Times New Roman"/>
          <w:b/>
          <w:bCs/>
          <w:i w:val="false"/>
          <w:iCs w:val="false"/>
          <w:sz w:val="26"/>
          <w:szCs w:val="26"/>
        </w:rPr>
        <w:t xml:space="preserve">b. Dukungan Pedagogis Ustaz</w:t>
      </w:r>
    </w:p>
    <w:p>
      <w:pPr>
        <w:keepNext w:val="false"/>
        <w:spacing w:after="200" w:line="360"/>
        <w:jc w:val="both"/>
      </w:pPr>
      <w:r>
        <w:rPr>
          <w:rFonts w:ascii="Times New Roman" w:cs="Times New Roman" w:eastAsia="Times New Roman" w:hAnsi="Times New Roman"/>
          <w:sz w:val="24"/>
          <w:szCs w:val="24"/>
        </w:rPr>
        <w:t xml:space="preserve">Ustaz pada kedua situs berperan memberikan penjelasan, koreksi bacaan, bimbingan, dan dorongan kepada santri. Vargas-Madriz, Konishi, dan Wong (2024) menunjukkan bahwa dukungan informasional, instrumental, </w:t>
      </w:r>
      <w:r>
        <w:rPr>
          <w:rFonts w:ascii="Times New Roman" w:cs="Times New Roman" w:eastAsia="Times New Roman" w:hAnsi="Times New Roman"/>
          <w:i/>
          <w:iCs/>
          <w:sz w:val="24"/>
          <w:szCs w:val="24"/>
        </w:rPr>
        <w:t xml:space="preserve">appraisal</w:t>
      </w:r>
      <w:r>
        <w:rPr>
          <w:rFonts w:ascii="Times New Roman" w:cs="Times New Roman" w:eastAsia="Times New Roman" w:hAnsi="Times New Roman"/>
          <w:sz w:val="24"/>
          <w:szCs w:val="24"/>
        </w:rPr>
        <w:t xml:space="preserve"> (umpan balik/evaluatif), dan emosional dari pendidik diasosiasikan dengan keterlibatan peserta didik dalam pembelajaran; data multisitus memperluas pembacaan tersebut ke konteks pembelajaran kitab turats, di mana koreksi sorogan pada Situs 1 dan bimbingan bertahap pada Situs 2 menyediakan kondisi pedagogis yang berkaitan dengan keterlibatan santri terhadap kitab.</w:t>
      </w:r>
    </w:p>
    <w:p>
      <w:pPr>
        <w:pStyle w:val="Heading3"/>
        <w:spacing w:after="160" w:before="280"/>
      </w:pPr>
      <w:r>
        <w:rPr>
          <w:rFonts w:ascii="Times New Roman" w:cs="Times New Roman" w:eastAsia="Times New Roman" w:hAnsi="Times New Roman"/>
          <w:b/>
          <w:bCs/>
          <w:i w:val="false"/>
          <w:iCs w:val="false"/>
          <w:sz w:val="26"/>
          <w:szCs w:val="26"/>
        </w:rPr>
        <w:t xml:space="preserve">c. Dukungan Sosial dan Peer Learning</w:t>
      </w:r>
    </w:p>
    <w:p>
      <w:pPr>
        <w:keepNext w:val="false"/>
        <w:spacing w:after="200" w:line="360"/>
        <w:jc w:val="both"/>
      </w:pPr>
      <w:r>
        <w:rPr>
          <w:rFonts w:ascii="Times New Roman" w:cs="Times New Roman" w:eastAsia="Times New Roman" w:hAnsi="Times New Roman"/>
          <w:sz w:val="24"/>
          <w:szCs w:val="24"/>
        </w:rPr>
        <w:t xml:space="preserve">Bantuan santri senior kepada santri junior serta belajar bersama menjadi bentuk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yang tergambar pada kedua situs. Bengesai, Amusa, dan Dhunpath (2023) memberikan penguatan konseptual bahwa pembelajaran sebaya berkaitan dengan proses belajar peserta didik, meskipun konteks tersebut berasal dari pendidikan tinggi dan tidak digunakan untuk mengimpor besaran efek ke dalam data pesantren. Dukungan sosial ini melengkapi dukungan pedagogis ustaz sebagai dua lapis pendampingan yang saling melengkapi pada kedua situs.</w:t>
      </w:r>
    </w:p>
    <w:p>
      <w:pPr>
        <w:pStyle w:val="Heading3"/>
        <w:spacing w:after="160" w:before="280"/>
      </w:pPr>
      <w:r>
        <w:rPr>
          <w:rFonts w:ascii="Times New Roman" w:cs="Times New Roman" w:eastAsia="Times New Roman" w:hAnsi="Times New Roman"/>
          <w:b/>
          <w:bCs/>
          <w:i w:val="false"/>
          <w:iCs w:val="false"/>
          <w:sz w:val="26"/>
          <w:szCs w:val="26"/>
        </w:rPr>
        <w:t xml:space="preserve">d. Sarana dan Kesempatan Belajar</w:t>
      </w:r>
    </w:p>
    <w:p>
      <w:pPr>
        <w:keepNext w:val="false"/>
        <w:spacing w:after="200" w:line="360"/>
        <w:jc w:val="both"/>
      </w:pPr>
      <w:r>
        <w:rPr>
          <w:rFonts w:ascii="Times New Roman" w:cs="Times New Roman" w:eastAsia="Times New Roman" w:hAnsi="Times New Roman"/>
          <w:sz w:val="24"/>
          <w:szCs w:val="24"/>
        </w:rPr>
        <w:t xml:space="preserve">Ketersediaan ruang dan kitab pada kedua situs memberikan dukungan material bagi berlangsungnya pembelajaran, sedangkan kesempatan belajar diperluas melalui praktik kelembagaan yang berbeda. Pada Situs 1, Belajar Malam Wajib menyediakan waktu khusus bagi kegiatan belajar, sedangkan pada Situs 2 Zona Literasi Turats memperluas kesempatan santri berinteraksi dengan kitab di luar pembelajaran formal. Villarreal Arroyo, Peñabaena-Niebles, dan Berdugo Correa (2023) menunjukkan bahwa kondisi lingkungan fisik berkaitan dengan proses belajar peserta didik. Temuan penelitian ini menunjukkan bahwa keberadaan sarana memperoleh fungsi pedagogis ketika digunakan dalam sistem, aktivitas, dan praktik pembelajaran yang berlangsung pada masing-masing pesantren.</w:t>
      </w:r>
    </w:p>
    <w:p>
      <w:pPr>
        <w:pStyle w:val="Heading3"/>
        <w:spacing w:after="160" w:before="280"/>
      </w:pPr>
      <w:r>
        <w:rPr>
          <w:rFonts w:ascii="Times New Roman" w:cs="Times New Roman" w:eastAsia="Times New Roman" w:hAnsi="Times New Roman"/>
          <w:b/>
          <w:bCs/>
          <w:i w:val="false"/>
          <w:iCs w:val="false"/>
          <w:sz w:val="26"/>
          <w:szCs w:val="26"/>
        </w:rPr>
        <w:t xml:space="preserve">e. Heterogenitas Kemampuan Santri</w:t>
      </w:r>
    </w:p>
    <w:p>
      <w:pPr>
        <w:keepNext w:val="false"/>
        <w:spacing w:after="200" w:line="360"/>
        <w:jc w:val="both"/>
      </w:pPr>
      <w:r>
        <w:rPr>
          <w:rFonts w:ascii="Times New Roman" w:cs="Times New Roman" w:eastAsia="Times New Roman" w:hAnsi="Times New Roman"/>
          <w:sz w:val="24"/>
          <w:szCs w:val="24"/>
        </w:rPr>
        <w:t xml:space="preserve">Kedua situs menghadapi variasi kemampuan awal membaca kitab di antara santri. Syaifudin dkk. (2025) menggambarkan kebutuhan penyesuaian pembelajaran terhadap heterogenitas kemampuan santri dalam menghadapi teks tanpa harakat serta struktur morfologis-sintaktis; temuan ini berkaitan dengan pembinaan membaca bertahap berdasarkan kemampuan santri pada Situs 2, yang menunjukkan respons kelembagaan yang lebih eksplisit terhadap heterogenitas dibandingkan Situs 1. Perbedaan ini dipahami sebagai variasi respons kelembagaan, bukan sebagai indikasi salah satu situs lebih unggul.</w:t>
      </w:r>
    </w:p>
    <w:p>
      <w:pPr>
        <w:pStyle w:val="Heading3"/>
        <w:spacing w:after="160" w:before="280"/>
      </w:pPr>
      <w:r>
        <w:rPr>
          <w:rFonts w:ascii="Times New Roman" w:cs="Times New Roman" w:eastAsia="Times New Roman" w:hAnsi="Times New Roman"/>
          <w:b/>
          <w:bCs/>
          <w:i w:val="false"/>
          <w:iCs w:val="false"/>
          <w:sz w:val="26"/>
          <w:szCs w:val="26"/>
        </w:rPr>
        <w:t xml:space="preserve">f. Waktu, Kepadatan Kegiatan, dan Kejenuhan</w:t>
      </w:r>
    </w:p>
    <w:p>
      <w:pPr>
        <w:keepNext w:val="false"/>
        <w:spacing w:after="200" w:line="360"/>
        <w:jc w:val="both"/>
      </w:pPr>
      <w:r>
        <w:rPr>
          <w:rFonts w:ascii="Times New Roman" w:cs="Times New Roman" w:eastAsia="Times New Roman" w:hAnsi="Times New Roman"/>
          <w:sz w:val="24"/>
          <w:szCs w:val="24"/>
        </w:rPr>
        <w:t xml:space="preserve">Keterbatasan waktu akibat kepadatan kegiatan serta potensi kelelahan atau kejenuhan tergambar dalam data kedua situs. Kajian Muhlis, Wardi, Mardhatillah, Wahyuningrum, dan Hayatullah (2025) menunjukkan bahwa santri dapat memberikan respons yang beragam terhadap target dan tata kelola program pembelajaran kitab, termasuk bentuk negosiasi dan resistensi pada konteks penelitian mereka. Kajian tersebut tidak digunakan sebagai bukti bahwa santri pada kedua situs penelitian ini mengalami bentuk resistensi yang sama, tetapi sebagai pembanding yang menunjukkan pentingnya pengelolaan program secara responsif terhadap kondisi peserta didik.</w:t>
      </w:r>
    </w:p>
    <w:p>
      <w:pPr>
        <w:pStyle w:val="Heading3"/>
        <w:spacing w:after="160" w:before="280"/>
      </w:pPr>
      <w:r>
        <w:rPr>
          <w:rFonts w:ascii="Times New Roman" w:cs="Times New Roman" w:eastAsia="Times New Roman" w:hAnsi="Times New Roman"/>
          <w:b/>
          <w:bCs/>
          <w:i w:val="false"/>
          <w:iCs w:val="false"/>
          <w:sz w:val="26"/>
          <w:szCs w:val="26"/>
        </w:rPr>
        <w:t xml:space="preserve">g. Teknologi sebagai Kondisi Kontekstual</w:t>
      </w:r>
    </w:p>
    <w:p>
      <w:pPr>
        <w:keepNext w:val="false"/>
        <w:spacing w:after="200" w:line="360"/>
        <w:jc w:val="both"/>
      </w:pPr>
      <w:r>
        <w:rPr>
          <w:rFonts w:ascii="Times New Roman" w:cs="Times New Roman" w:eastAsia="Times New Roman" w:hAnsi="Times New Roman"/>
          <w:sz w:val="24"/>
          <w:szCs w:val="24"/>
        </w:rPr>
        <w:t xml:space="preserve">Teknologi atau gadget muncul dalam data sebagai potensi distraksi pada kondisi tertentu, bukan sebagai hambatan universal bagi seluruh santri. Mirawati, Tjahjono, Hamami, dan Suud (2025) menggambarkan keterlibatan media sosial atau digital sebagai kondisi kontekstual yang memerlukan </w:t>
      </w:r>
      <w:r>
        <w:rPr>
          <w:rFonts w:ascii="Times New Roman" w:cs="Times New Roman" w:eastAsia="Times New Roman" w:hAnsi="Times New Roman"/>
          <w:i/>
          <w:iCs/>
          <w:sz w:val="24"/>
          <w:szCs w:val="24"/>
        </w:rPr>
        <w:t xml:space="preserve">self-management</w:t>
      </w:r>
      <w:r>
        <w:rPr>
          <w:rFonts w:ascii="Times New Roman" w:cs="Times New Roman" w:eastAsia="Times New Roman" w:hAnsi="Times New Roman"/>
          <w:sz w:val="24"/>
          <w:szCs w:val="24"/>
        </w:rPr>
        <w:t xml:space="preserve"> dari santri; data multisitus digunakan secara terbatas untuk mendukung pembacaan tersebut, tanpa menggeneralisasikan kondisi ini kepada seluruh santri pada kedua situs maupun menyatakan bahwa gadget menyebabkan rendahnya minat belajar.</w:t>
      </w:r>
    </w:p>
    <w:p>
      <w:pPr>
        <w:pStyle w:val="Heading3"/>
        <w:spacing w:after="160" w:before="280"/>
      </w:pPr>
      <w:r>
        <w:rPr>
          <w:rFonts w:ascii="Times New Roman" w:cs="Times New Roman" w:eastAsia="Times New Roman" w:hAnsi="Times New Roman"/>
          <w:b/>
          <w:bCs/>
          <w:i w:val="false"/>
          <w:iCs w:val="false"/>
          <w:sz w:val="26"/>
          <w:szCs w:val="26"/>
        </w:rPr>
        <w:t xml:space="preserve">h. Sintesis Pembahasan RM 2</w:t>
      </w:r>
    </w:p>
    <w:p>
      <w:pPr>
        <w:keepNext w:val="false"/>
        <w:spacing w:after="200" w:line="360"/>
        <w:jc w:val="both"/>
      </w:pPr>
      <w:r>
        <w:rPr>
          <w:rFonts w:ascii="Times New Roman" w:cs="Times New Roman" w:eastAsia="Times New Roman" w:hAnsi="Times New Roman"/>
          <w:sz w:val="24"/>
          <w:szCs w:val="24"/>
        </w:rPr>
        <w:t xml:space="preserve">Faktor pendukung strategi lingkungan pembelajaran pada kedua situs dapat dibaca melalui lapisan kelembagaan, pedagogis, sosial, personal, dan sumber/fasilitas yang saling melengkapi, sementara faktor penghambat berkaitan dengan heterogenitas kemampuan, keterbatasan waktu, kejenuhan, serta—pada kondisi tertentu—potensi distraksi teknologi. Temuan khas Situs 2 berupa kesulitan teks dan aktivitas lain di luar pembelajaran kitab tidak digeneralisasikan sebagai temuan universal kedua situs. Data mengindikasikan bahwa pelaksanaan strategi perlu dibaca bersama cara masing-masing lembaga mengelola dan merespons kondisi kontekstual yang muncul pada santri dan kegiatan pembelajaran.</w:t>
      </w:r>
    </w:p>
    <w:p>
      <w:pPr>
        <w:pStyle w:val="Heading2"/>
        <w:spacing w:after="200" w:before="360"/>
      </w:pPr>
      <w:r>
        <w:rPr>
          <w:rFonts w:ascii="Times New Roman" w:cs="Times New Roman" w:eastAsia="Times New Roman" w:hAnsi="Times New Roman"/>
          <w:b/>
          <w:bCs/>
          <w:sz w:val="28"/>
          <w:szCs w:val="28"/>
        </w:rPr>
        <w:t xml:space="preserve">3. Pembahasan Rumusan Masalah 3: Implikasi Strategi terhadap Minat Belajar dan Perkembangan Maharah Qira'ah</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pada kedua situs menunjukkan bahwa target bacaan, forum keilmuan, pendampingan, zona literasi, dan pembinaan bertahap menyediakan berbagai kesempatan bagi santri untuk berinteraksi dengan kitab, yang berkaitan dengan perhatian, keterlibatan, konsistensi, dan inisiatif membaca. Kajian Lai, Chen, Wang, dan Qi (2024) memberikan landasan konseptual mengenai </w:t>
      </w:r>
      <w:r>
        <w:rPr>
          <w:rFonts w:ascii="Times New Roman" w:cs="Times New Roman" w:eastAsia="Times New Roman" w:hAnsi="Times New Roman"/>
          <w:i/>
          <w:iCs/>
          <w:sz w:val="24"/>
          <w:szCs w:val="24"/>
        </w:rPr>
        <w:t xml:space="preserve">individual interest</w:t>
      </w:r>
      <w:r>
        <w:rPr>
          <w:rFonts w:ascii="Times New Roman" w:cs="Times New Roman" w:eastAsia="Times New Roman" w:hAnsi="Times New Roman"/>
          <w:sz w:val="24"/>
          <w:szCs w:val="24"/>
        </w:rPr>
        <w:t xml:space="preserve"> dan keterlibatan dalam aktivitas belajar bahasa yang berlangsung di luar kelas. Dalam penelitian ini, sumber tersebut digunakan untuk membantu membaca aktivitas santri yang berinteraksi dengan kitab di luar pengajian formal, tanpa menyamakan konteks pembelajaran bahasa berbasis teknologi dalam penelitian Lai dkk. dengan konteks pesantren.</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Praktik Membaca Kitab</w:t>
      </w:r>
    </w:p>
    <w:p>
      <w:pPr>
        <w:keepNext w:val="false"/>
        <w:spacing w:after="200" w:line="360"/>
        <w:jc w:val="both"/>
      </w:pPr>
      <w:r>
        <w:rPr>
          <w:rFonts w:ascii="Times New Roman" w:cs="Times New Roman" w:eastAsia="Times New Roman" w:hAnsi="Times New Roman"/>
          <w:sz w:val="24"/>
          <w:szCs w:val="24"/>
        </w:rPr>
        <w:t xml:space="preserve">Sorogan, bandongan, pembacaan terbimbing, dan latihan membaca bertahap menyediakan kesempatan berulang bagi santri untuk mempraktikkan kemampuan membaca kitab dengan bimbingan dan koreksi. Data ini berkaitan dengan gambaran Arif, Harun, dan Nor Abd Aziz (2023) mengenai variasi metode pembacaan kitab kuning di pesantren, dan diperluas oleh temuan multisitus yang menunjukkan bahwa praktik membaca tersebut berlangsung dalam konfigurasi kelembagaan yang berbeda pada kedua pesantren, bukan pada satu metode tunggal.</w:t>
      </w:r>
    </w:p>
    <w:p>
      <w:pPr>
        <w:pStyle w:val="Heading3"/>
        <w:spacing w:after="160" w:before="280"/>
      </w:pPr>
      <w:r>
        <w:rPr>
          <w:rFonts w:ascii="Times New Roman" w:cs="Times New Roman" w:eastAsia="Times New Roman" w:hAnsi="Times New Roman"/>
          <w:b/>
          <w:bCs/>
          <w:i w:val="false"/>
          <w:iCs w:val="false"/>
          <w:sz w:val="26"/>
          <w:szCs w:val="26"/>
        </w:rPr>
        <w:t xml:space="preserve">c. Membaca Teks Tanpa Harakat</w:t>
      </w:r>
    </w:p>
    <w:p>
      <w:pPr>
        <w:keepNext w:val="false"/>
        <w:spacing w:after="200" w:line="360"/>
        <w:jc w:val="both"/>
      </w:pPr>
      <w:r>
        <w:rPr>
          <w:rFonts w:ascii="Times New Roman" w:cs="Times New Roman" w:eastAsia="Times New Roman" w:hAnsi="Times New Roman"/>
          <w:sz w:val="24"/>
          <w:szCs w:val="24"/>
        </w:rPr>
        <w:t xml:space="preserve">Kedua situs menunjukkan variasi kemampuan santri dalam membaca teks tanpa harakat, dengan santri senior atau tingkat lanjut cenderung lebih lancar dibanding santri junior atau tingkat awal. Syaifudin dkk. (2025) menggambarkan bahwa teks tanpa harakat menuntut kemampuan yang berkaitan dengan struktur morfologis dan sintaktis; Bin Sawad, Law, Tibi, dan Boese (2022) menunjukkan bahwa kesadaran morfologis, fonologis, dan pengetahuan ortografis berkaitan dengan pemahaman membaca bahasa Arab, meskipun populasi penelitian tersebut adalah siswa kelas 1–12 dan tidak digeneralisasikan langsung ke konteks pesantren. Dalam data multisitus, perkembangan kemampuan membaca teks tanpa harakat tergambar bersama pengalaman berulang, latihan, koreksi, dan bimbingan, tanpa menetapkan hubungan kausal antara satu bentuk kegiatan dan perkembangan tersebut.</w:t>
      </w:r>
    </w:p>
    <w:p>
      <w:pPr>
        <w:pStyle w:val="Heading3"/>
        <w:spacing w:after="160" w:before="280"/>
      </w:pPr>
      <w:r>
        <w:rPr>
          <w:rFonts w:ascii="Times New Roman" w:cs="Times New Roman" w:eastAsia="Times New Roman" w:hAnsi="Times New Roman"/>
          <w:b/>
          <w:bCs/>
          <w:i w:val="false"/>
          <w:iCs w:val="false"/>
          <w:sz w:val="26"/>
          <w:szCs w:val="26"/>
        </w:rPr>
        <w:t xml:space="preserve">d. Nahwu-Sharaf dan Ketepatan Struktur</w:t>
      </w:r>
    </w:p>
    <w:p>
      <w:pPr>
        <w:keepNext w:val="false"/>
        <w:spacing w:after="200" w:line="360"/>
        <w:jc w:val="both"/>
      </w:pPr>
      <w:r>
        <w:rPr>
          <w:rFonts w:ascii="Times New Roman" w:cs="Times New Roman" w:eastAsia="Times New Roman" w:hAnsi="Times New Roman"/>
          <w:sz w:val="24"/>
          <w:szCs w:val="24"/>
        </w:rPr>
        <w:t xml:space="preserve">Pembelajaran kitab pada kedua situs melatih santri memperhatikan kedudukan kata, struktur kalimat, dan penerapan kaidah nahwu-sharaf ketika membaca. Ardiansyah, Musthafa, Syafei, dan Sanah (2024) menekankan keterkaitan antara penguasaan tata bahasa dan kemampuan qirā'at al-kutub; data multisitus mengindikasikan kesesuaian dengan gambaran tersebut pada konteks santri pesantren, tanpa membawa hasil pengukuran pra-pasca dari penelitian tersebut ke dalam interpretasi data penelitian ini, karena penelitian ini tidak menggunakan instrumen tes semacam itu.</w:t>
      </w:r>
    </w:p>
    <w:p>
      <w:pPr>
        <w:pStyle w:val="Heading3"/>
        <w:spacing w:after="160" w:before="280"/>
      </w:pPr>
      <w:r>
        <w:rPr>
          <w:rFonts w:ascii="Times New Roman" w:cs="Times New Roman" w:eastAsia="Times New Roman" w:hAnsi="Times New Roman"/>
          <w:b/>
          <w:bCs/>
          <w:i w:val="false"/>
          <w:iCs w:val="false"/>
          <w:sz w:val="26"/>
          <w:szCs w:val="26"/>
        </w:rPr>
        <w:t xml:space="preserve">e. Pemahaman dan Pemaknaan Teks</w:t>
      </w:r>
    </w:p>
    <w:p>
      <w:pPr>
        <w:keepNext w:val="false"/>
        <w:spacing w:after="200" w:line="360"/>
        <w:jc w:val="both"/>
      </w:pPr>
      <w:r>
        <w:rPr>
          <w:rFonts w:ascii="Times New Roman" w:cs="Times New Roman" w:eastAsia="Times New Roman" w:hAnsi="Times New Roman"/>
          <w:sz w:val="24"/>
          <w:szCs w:val="24"/>
        </w:rPr>
        <w:t xml:space="preserve">Penjelasan ustaz, diskusi, dan latihan pada kedua situs menyediakan kesempatan bagi santri untuk memahami dan memaknai isi teks kitab. Shalihah, Nisa, dan Yani (2023) memaknai qira'ah sebagai aktivitas membaca sekaligus memahami, bukan sekadar melafalkan teks; data multisitus mengindikasikan kesesuaian dengan pemaknaan tersebut melalui Forum Mudzakarah Ilmiyyah pada Situs 1 dan diskusi/</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pada Situs 2, tanpa mengklaim bahwa metode </w:t>
      </w:r>
      <w:r>
        <w:rPr>
          <w:rFonts w:ascii="Times New Roman" w:cs="Times New Roman" w:eastAsia="Times New Roman" w:hAnsi="Times New Roman"/>
          <w:i/>
          <w:iCs/>
          <w:sz w:val="24"/>
          <w:szCs w:val="24"/>
        </w:rPr>
        <w:t xml:space="preserve">inquiry</w:t>
      </w:r>
      <w:r>
        <w:rPr>
          <w:rFonts w:ascii="Times New Roman" w:cs="Times New Roman" w:eastAsia="Times New Roman" w:hAnsi="Times New Roman"/>
          <w:sz w:val="24"/>
          <w:szCs w:val="24"/>
        </w:rPr>
        <w:t xml:space="preserve"> sebagaimana dalam penelitian tersebut digunakan pada kedua situs penelitian ini.</w:t>
      </w:r>
    </w:p>
    <w:p>
      <w:pPr>
        <w:pStyle w:val="Heading3"/>
        <w:spacing w:after="160" w:before="280"/>
      </w:pPr>
      <w:r>
        <w:rPr>
          <w:rFonts w:ascii="Times New Roman" w:cs="Times New Roman" w:eastAsia="Times New Roman" w:hAnsi="Times New Roman"/>
          <w:b/>
          <w:bCs/>
          <w:i w:val="false"/>
          <w:iCs w:val="false"/>
          <w:sz w:val="26"/>
          <w:szCs w:val="26"/>
        </w:rPr>
        <w:t xml:space="preserve">f. Perkembangan Maharah Qira'ah secara Kualitatif</w:t>
      </w:r>
    </w:p>
    <w:p>
      <w:pPr>
        <w:keepNext w:val="false"/>
        <w:spacing w:after="200" w:line="360"/>
        <w:jc w:val="both"/>
      </w:pPr>
      <w:r>
        <w:rPr>
          <w:rFonts w:ascii="Times New Roman" w:cs="Times New Roman" w:eastAsia="Times New Roman" w:hAnsi="Times New Roman"/>
          <w:sz w:val="24"/>
          <w:szCs w:val="24"/>
        </w:rPr>
        <w:t xml:space="preserve">Data pada kedua situs menggambarkan perkembangan maharah qira'ah secara kualitatif melalui latihan rutin, koreksi, pembiasaan, dan akumulasi pengalaman berinteraksi dengan kitab, bukan melalui skor atau persentase peningkatan. Syafei, Suleman, dan Rohanda (2024) membahas pengembangan kemampuan membaca bahasa Arab untuk kitab klasik dalam konteks pesantren. Temuan multisitus penelitian ini menambahkan bahwa pengalaman perkembangan membaca tersebut berlangsung dalam konfigurasi kelembagaan yang berbeda pada masing-masing situs, sementara pada keduanya perkembangan kualitatif tergambar melalui pengalaman membaca, penerapan struktur, serta pemahaman teks.</w:t>
      </w:r>
    </w:p>
    <w:p>
      <w:pPr>
        <w:pStyle w:val="Heading3"/>
        <w:spacing w:after="160" w:before="280"/>
      </w:pPr>
      <w:r>
        <w:rPr>
          <w:rFonts w:ascii="Times New Roman" w:cs="Times New Roman" w:eastAsia="Times New Roman" w:hAnsi="Times New Roman"/>
          <w:b/>
          <w:bCs/>
          <w:i w:val="false"/>
          <w:iCs w:val="false"/>
          <w:sz w:val="26"/>
          <w:szCs w:val="26"/>
        </w:rPr>
        <w:t xml:space="preserve">g. Hubungan Dinamis Minat–Praktik Membaca–Maharah Qira'ah</w:t>
      </w:r>
    </w:p>
    <w:p>
      <w:pPr>
        <w:keepNext w:val="false"/>
        <w:spacing w:after="200" w:line="360"/>
        <w:jc w:val="both"/>
      </w:pPr>
      <w:r>
        <w:rPr>
          <w:rFonts w:ascii="Times New Roman" w:cs="Times New Roman" w:eastAsia="Times New Roman" w:hAnsi="Times New Roman"/>
          <w:sz w:val="24"/>
          <w:szCs w:val="24"/>
        </w:rPr>
        <w:t xml:space="preserve">Data multisitus mengindikasikan hubungan dinamis antara ketertarikan santri, kesempatan berlatih membaca, dan perkembangan pengalaman qira'ah. Keterlibatan yang lebih luas memberikan lebih banyak kesempatan berinteraksi dengan kitab, sementara pengalaman membaca dan memahami teks dapat berkaitan dengan keterlibatan berikutnya. Hubungan tersebut merupakan interpretasi kualitatif, bukan bukti kausal eksperimental, dan tidak dipahami sebagai rangkaian linear dari minat menuju qira'ah.</w:t>
      </w:r>
    </w:p>
    <w:p>
      <w:pPr>
        <w:pStyle w:val="Heading3"/>
        <w:spacing w:after="160" w:before="280"/>
      </w:pPr>
      <w:r>
        <w:rPr>
          <w:rFonts w:ascii="Times New Roman" w:cs="Times New Roman" w:eastAsia="Times New Roman" w:hAnsi="Times New Roman"/>
          <w:b/>
          <w:bCs/>
          <w:i w:val="false"/>
          <w:iCs w:val="false"/>
          <w:sz w:val="26"/>
          <w:szCs w:val="26"/>
        </w:rPr>
        <w:t xml:space="preserve">h. Sintesis Pembahasan RM 3</w:t>
      </w:r>
    </w:p>
    <w:p>
      <w:pPr>
        <w:keepNext w:val="false"/>
        <w:spacing w:after="200" w:line="360"/>
        <w:jc w:val="both"/>
      </w:pPr>
      <w:r>
        <w:rPr>
          <w:rFonts w:ascii="Times New Roman" w:cs="Times New Roman" w:eastAsia="Times New Roman" w:hAnsi="Times New Roman"/>
          <w:sz w:val="24"/>
          <w:szCs w:val="24"/>
        </w:rPr>
        <w:t xml:space="preserve">Implikasi strategi lingkungan pembelajaran terhadap minat belajar dan maharah qira'ah tergambar melalui perluasan kesempatan santri berinteraksi dengan kitab pada kedua situs, yang berkaitan dengan perkembangan kualitatif pada keempat aspek qira'ah—membaca teks tanpa harakat, ketepatan struktur nahwu-sharaf, pemahaman makna, dan perkembangan kemampuan membaca secara umum. Data mengindikasikan bahwa hubungan antara minat, praktik membaca, dan maharah qira'ah bersifat dinamis dan potensial resiprokal, bukan hubungan sebab-akibat yang linear dan deterministik.</w:t>
      </w:r>
    </w:p>
    <w:p>
      <w:pPr>
        <w:pStyle w:val="Heading2"/>
        <w:spacing w:after="200" w:before="360"/>
      </w:pPr>
      <w:r>
        <w:rPr>
          <w:rFonts w:ascii="Times New Roman" w:cs="Times New Roman" w:eastAsia="Times New Roman" w:hAnsi="Times New Roman"/>
          <w:b/>
          <w:bCs/>
          <w:sz w:val="28"/>
          <w:szCs w:val="28"/>
        </w:rPr>
        <w:t xml:space="preserve">4. Kontribusi dan Kebaruan Penelitian</w:t>
      </w:r>
    </w:p>
    <w:p>
      <w:pPr>
        <w:pStyle w:val="Heading3"/>
        <w:spacing w:after="160" w:before="280"/>
      </w:pPr>
      <w:r>
        <w:rPr>
          <w:rFonts w:ascii="Times New Roman" w:cs="Times New Roman" w:eastAsia="Times New Roman" w:hAnsi="Times New Roman"/>
          <w:b/>
          <w:bCs/>
          <w:i w:val="false"/>
          <w:iCs w:val="false"/>
          <w:sz w:val="26"/>
          <w:szCs w:val="26"/>
        </w:rPr>
        <w:t xml:space="preserve">a. Lingkungan Pembelajaran sebagai Ekosistem Strategis</w:t>
      </w:r>
    </w:p>
    <w:p>
      <w:pPr>
        <w:keepNext w:val="false"/>
        <w:spacing w:after="200" w:line="360"/>
        <w:jc w:val="both"/>
      </w:pPr>
      <w:r>
        <w:rPr>
          <w:rFonts w:ascii="Times New Roman" w:cs="Times New Roman" w:eastAsia="Times New Roman" w:hAnsi="Times New Roman"/>
          <w:sz w:val="24"/>
          <w:szCs w:val="24"/>
        </w:rPr>
        <w:t xml:space="preserve">Penelitian ini memberikan kontribusi konseptual dengan memperluas pemahaman lingkungan pembelajaran pesantren dari sekadar kondisi atau latar belajar menjadi kondisi yang dibentuk dan dikelola melalui berbagai praktik kelembagaan yang melibatkan dimensi fisik, akademik, sosial, dan religius dalam konteks budaya pesantren. Kontribusi ini bukan berarti bahwa seluruh lingkungan dirancang secara sengaja, melainkan bahwa kondisi tersebut terbentuk melalui interaksi berbagai praktik kelembagaan yang berlangsung dari waktu ke waktu.</w:t>
      </w:r>
    </w:p>
    <w:p>
      <w:pPr>
        <w:pStyle w:val="Heading3"/>
        <w:spacing w:after="160" w:before="280"/>
      </w:pPr>
      <w:r>
        <w:rPr>
          <w:rFonts w:ascii="Times New Roman" w:cs="Times New Roman" w:eastAsia="Times New Roman" w:hAnsi="Times New Roman"/>
          <w:b/>
          <w:bCs/>
          <w:i w:val="false"/>
          <w:iCs w:val="false"/>
          <w:sz w:val="26"/>
          <w:szCs w:val="26"/>
        </w:rPr>
        <w:t xml:space="preserve">b. Dua Variasi Implementasi Kelembagaan</w:t>
      </w:r>
    </w:p>
    <w:p>
      <w:pPr>
        <w:keepNext w:val="false"/>
        <w:spacing w:after="200" w:line="360"/>
        <w:jc w:val="both"/>
      </w:pPr>
      <w:r>
        <w:rPr>
          <w:rFonts w:ascii="Times New Roman" w:cs="Times New Roman" w:eastAsia="Times New Roman" w:hAnsi="Times New Roman"/>
          <w:sz w:val="24"/>
          <w:szCs w:val="24"/>
        </w:rPr>
        <w:t xml:space="preserve">Temuan pada Situs 1 dan Situs 2 menunjukkan bahwa fokus pembelajaran yang searah dapat ditopang melalui mekanisme kelembagaan yang berbeda—satu menonjolkan struktur, rutinitas, dan pengawasan, sedangkan yang lain menonjolkan budaya literasi, adaptasi kemampuan, dan variasi kegiatan. Kontribusi penelitian ini terletak pada penggambaran dua variasi kontekstual tersebut dalam kerangka penelitian multisitus, bukan pada penyusunan tipologi universal “model An-Najiyah” versus “model Asy-Syafa'ah” yang berlaku bagi pesantren secara umum.</w:t>
      </w:r>
    </w:p>
    <w:p>
      <w:pPr>
        <w:pStyle w:val="Heading3"/>
        <w:spacing w:after="160" w:before="280"/>
      </w:pPr>
      <w:r>
        <w:rPr>
          <w:rFonts w:ascii="Times New Roman" w:cs="Times New Roman" w:eastAsia="Times New Roman" w:hAnsi="Times New Roman"/>
          <w:b/>
          <w:bCs/>
          <w:i w:val="false"/>
          <w:iCs w:val="false"/>
          <w:sz w:val="26"/>
          <w:szCs w:val="26"/>
        </w:rPr>
        <w:t xml:space="preserve">c. Minat sebagai Konstruk yang Dibaca melalui Jejak Empiris dalam Ekosistem Belajar</w:t>
      </w:r>
    </w:p>
    <w:p>
      <w:pPr>
        <w:keepNext w:val="false"/>
        <w:spacing w:after="200" w:line="360"/>
        <w:jc w:val="both"/>
      </w:pPr>
      <w:r>
        <w:rPr>
          <w:rFonts w:ascii="Times New Roman" w:cs="Times New Roman" w:eastAsia="Times New Roman" w:hAnsi="Times New Roman"/>
          <w:sz w:val="24"/>
          <w:szCs w:val="24"/>
        </w:rPr>
        <w:t xml:space="preserve">Penelitian ini memberikan sintesis analitis bahwa minat belajar kitab turats dapat dibaca secara kualitatif melalui kombinasi jejak empiris berupa ketertarikan, rasa senang, perhatian, keterlibatan, kesungguhan, konsistensi, inisiatif, dan kemauan memperdalam yang muncul dalam interaksi santri dengan ekosistem pembelajaran. Kehadiran pada kegiatan wajib tidak digunakan secara tunggal sebagai bukti minat. Sintesis tersebut merupakan cara interpretatif untuk membaca minat dalam konteks penelitian multisitus ini, bukan definisi universal baru mengenai </w:t>
      </w:r>
      <w:r>
        <w:rPr>
          <w:rFonts w:ascii="Times New Roman" w:cs="Times New Roman" w:eastAsia="Times New Roman" w:hAnsi="Times New Roman"/>
          <w:i/>
          <w:iCs/>
          <w:sz w:val="24"/>
          <w:szCs w:val="24"/>
        </w:rPr>
        <w:t xml:space="preserve">interest</w:t>
      </w:r>
      <w:r>
        <w:rPr>
          <w:rFonts w:ascii="Times New Roman" w:cs="Times New Roman" w:eastAsia="Times New Roman" w:hAnsi="Times New Roman"/>
          <w:sz w:val="24"/>
          <w:szCs w:val="24"/>
        </w:rPr>
        <w:t xml:space="preserve">.</w:t>
      </w:r>
    </w:p>
    <w:p>
      <w:pPr>
        <w:pStyle w:val="Heading3"/>
        <w:spacing w:after="160" w:before="280"/>
      </w:pPr>
      <w:r>
        <w:rPr>
          <w:rFonts w:ascii="Times New Roman" w:cs="Times New Roman" w:eastAsia="Times New Roman" w:hAnsi="Times New Roman"/>
          <w:b/>
          <w:bCs/>
          <w:i w:val="false"/>
          <w:iCs w:val="false"/>
          <w:sz w:val="26"/>
          <w:szCs w:val="26"/>
        </w:rPr>
        <w:t xml:space="preserve">d. Hubungan Dinamis Minat–Praktik Membaca–Maharah Qira'ah</w:t>
      </w:r>
    </w:p>
    <w:p>
      <w:pPr>
        <w:keepNext w:val="false"/>
        <w:spacing w:after="200" w:line="360"/>
        <w:jc w:val="both"/>
      </w:pPr>
      <w:r>
        <w:rPr>
          <w:rFonts w:ascii="Times New Roman" w:cs="Times New Roman" w:eastAsia="Times New Roman" w:hAnsi="Times New Roman"/>
          <w:sz w:val="24"/>
          <w:szCs w:val="24"/>
        </w:rPr>
        <w:t xml:space="preserve">Kontribusi konseptual penelitian ini terletak pada perumusan hubungan antara minat, kesempatan/praktik membaca, dan maharah qira'ah sebagai hubungan yang dinamis dan potensial resiprokal, bukan hubungan kausal searah dari minat menuju qira'ah. Rumusan ini merupakan sintesis konseptual hasil interpretasi data multisitus, bukan teori kausal baru yang menggantikan kerangka yang telah ada.</w:t>
      </w:r>
    </w:p>
    <w:p>
      <w:pPr>
        <w:pStyle w:val="Heading3"/>
        <w:spacing w:after="160" w:before="280"/>
      </w:pPr>
      <w:r>
        <w:rPr>
          <w:rFonts w:ascii="Times New Roman" w:cs="Times New Roman" w:eastAsia="Times New Roman" w:hAnsi="Times New Roman"/>
          <w:b/>
          <w:bCs/>
          <w:i w:val="false"/>
          <w:iCs w:val="false"/>
          <w:sz w:val="26"/>
          <w:szCs w:val="26"/>
        </w:rPr>
        <w:t xml:space="preserve">e. Model Konseptual Hasil Penelitian</w:t>
      </w:r>
    </w:p>
    <w:p>
      <w:pPr>
        <w:keepNext w:val="false"/>
        <w:spacing w:after="200" w:line="360"/>
        <w:jc w:val="both"/>
      </w:pPr>
      <w:r>
        <w:rPr>
          <w:rFonts w:ascii="Times New Roman" w:cs="Times New Roman" w:eastAsia="Times New Roman" w:hAnsi="Times New Roman"/>
          <w:sz w:val="24"/>
          <w:szCs w:val="24"/>
        </w:rPr>
        <w:t xml:space="preserve">Data multisitus dapat digambarkan melalui model konseptual berikut.</w:t>
      </w:r>
    </w:p>
    <w:p>
      <w:pPr>
        <w:spacing w:after="0" w:line="240"/>
      </w:pPr>
      <w:r>
        <w:rPr>
          <w:rFonts w:ascii="Courier New" w:cs="Courier New" w:eastAsia="Courier New" w:hAnsi="Courier New"/>
          <w:sz w:val="20"/>
          <w:szCs w:val="20"/>
        </w:rPr>
        <w:t xml:space="preserve">[STRATEGI LINGKUNGAN PEMBELAJARAN PESANTREN]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Fisik   Akademik  Sosial  Religius</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[konteks budaya pesantren]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       [MEKANISME/KESEMPATAN BELAJAR]</w:t>
      </w:r>
    </w:p>
    <w:p>
      <w:pPr>
        <w:spacing w:after="0" w:line="240"/>
      </w:pPr>
      <w:r>
        <w:rPr>
          <w:rFonts w:ascii="Courier New" w:cs="Courier New" w:eastAsia="Courier New" w:hAnsi="Courier New"/>
          <w:sz w:val="20"/>
          <w:szCs w:val="20"/>
        </w:rPr>
        <w:t xml:space="preserve"> pembiasaan | pendampingan | interaksi sosial |</w:t>
      </w:r>
    </w:p>
    <w:p>
      <w:pPr>
        <w:spacing w:after="0" w:line="240"/>
      </w:pPr>
      <w:r>
        <w:rPr>
          <w:rFonts w:ascii="Courier New" w:cs="Courier New" w:eastAsia="Courier New" w:hAnsi="Courier New"/>
          <w:sz w:val="20"/>
          <w:szCs w:val="20"/>
        </w:rPr>
        <w:t xml:space="preserve"> akses kitab | latihan membaca | kegiatan keilmuan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v                   v</w:t>
      </w:r>
    </w:p>
    <w:p>
      <w:pPr>
        <w:spacing w:after="0" w:line="240"/>
      </w:pPr>
      <w:r>
        <w:rPr>
          <w:rFonts w:ascii="Courier New" w:cs="Courier New" w:eastAsia="Courier New" w:hAnsi="Courier New"/>
          <w:sz w:val="20"/>
          <w:szCs w:val="20"/>
        </w:rPr>
        <w:t xml:space="preserve">[MINAT BELAJAR KITAB TURATS] &lt;----&gt; [PRAKTIK MEMBACA]</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                                 [MAHARAH QIRA'AH]</w:t>
      </w:r>
    </w:p>
    <w:p>
      <w:pPr>
        <w:spacing w:after="0" w:line="240"/>
      </w:pPr>
      <w:r>
        <w:rPr>
          <w:rFonts w:ascii="Courier New" w:cs="Courier New" w:eastAsia="Courier New" w:hAnsi="Courier New"/>
          <w:sz w:val="20"/>
          <w:szCs w:val="20"/>
        </w:rPr>
        <w:t xml:space="preserve">                         - teks tanpa harakat</w:t>
      </w:r>
    </w:p>
    <w:p>
      <w:pPr>
        <w:spacing w:after="0" w:line="240"/>
      </w:pPr>
      <w:r>
        <w:rPr>
          <w:rFonts w:ascii="Courier New" w:cs="Courier New" w:eastAsia="Courier New" w:hAnsi="Courier New"/>
          <w:sz w:val="20"/>
          <w:szCs w:val="20"/>
        </w:rPr>
        <w:t xml:space="preserve">                         - ketepatan struktur/nahwu-sharaf</w:t>
      </w:r>
    </w:p>
    <w:p>
      <w:pPr>
        <w:spacing w:after="0" w:line="240"/>
      </w:pPr>
      <w:r>
        <w:rPr>
          <w:rFonts w:ascii="Courier New" w:cs="Courier New" w:eastAsia="Courier New" w:hAnsi="Courier New"/>
          <w:sz w:val="20"/>
          <w:szCs w:val="20"/>
        </w:rPr>
        <w:t xml:space="preserve">                         - memahami dan memaknai teks</w:t>
      </w:r>
    </w:p>
    <w:p>
      <w:pPr>
        <w:spacing w:after="0" w:line="240"/>
      </w:pPr>
      <w:r>
        <w:rPr>
          <w:rFonts w:ascii="Courier New" w:cs="Courier New" w:eastAsia="Courier New" w:hAnsi="Courier New"/>
          <w:sz w:val="20"/>
          <w:szCs w:val="20"/>
        </w:rPr>
        <w:t xml:space="preserve">                         - perkembangan kemampuan membaca</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[Faktor Pendukung dan Penghambat]</w:t>
      </w:r>
    </w:p>
    <w:p>
      <w:pPr>
        <w:spacing w:after="0" w:line="240"/>
      </w:pPr>
      <w:r>
        <w:rPr>
          <w:rFonts w:ascii="Courier New" w:cs="Courier New" w:eastAsia="Courier New" w:hAnsi="Courier New"/>
          <w:sz w:val="20"/>
          <w:szCs w:val="20"/>
        </w:rPr>
        <w:t xml:space="preserve">= kondisi kontekstual yang berkaitan</w:t>
      </w:r>
    </w:p>
    <w:p>
      <w:pPr>
        <w:spacing w:after="0" w:line="240"/>
      </w:pPr>
      <w:r>
        <w:rPr>
          <w:rFonts w:ascii="Courier New" w:cs="Courier New" w:eastAsia="Courier New" w:hAnsi="Courier New"/>
          <w:sz w:val="20"/>
          <w:szCs w:val="20"/>
        </w:rPr>
        <w:t xml:space="preserve">dengan pelaksanaan strategi sepanjang proses</w:t>
      </w:r>
    </w:p>
    <w:p>
      <w:pPr>
        <w:spacing w:after="200" w:before="200"/>
      </w:pPr>
      <w:r>
        <w:t xml:space="preserve"/>
      </w:r>
    </w:p>
    <w:p>
      <w:pPr>
        <w:keepNext w:val="false"/>
        <w:spacing w:after="200" w:line="360"/>
        <w:jc w:val="both"/>
      </w:pPr>
      <w:r>
        <w:rPr>
          <w:rFonts w:ascii="Times New Roman" w:cs="Times New Roman" w:eastAsia="Times New Roman" w:hAnsi="Times New Roman"/>
          <w:sz w:val="24"/>
          <w:szCs w:val="24"/>
        </w:rPr>
        <w:t xml:space="preserve">Faktor pendukung dan penghambat diposisikan sebagai kondisi kontekstual yang berkaitan dengan pelaksanaan strategi tersebut, bukan sebagai variabel independen dalam desain eksperimental. Model ini merupakan sintesis konseptual berdasarkan interpretasi data multisitus dan bukan model kausal deterministik atau model universal seluruh pesantren.</w:t>
      </w:r>
    </w:p>
    <w:p>
      <w:pPr>
        <w:pageBreakBefore/>
        <w:spacing w:before="600"/>
      </w:pPr>
      <w:r>
        <w:br/>
        <w:t xml:space="preserve"/>
      </w:r>
    </w:p>
    <w:p>
      <w:pPr>
        <w:pStyle w:val="Heading1"/>
        <w:spacing w:after="240" w:before="480"/>
      </w:pPr>
      <w:r>
        <w:rPr>
          <w:rFonts w:ascii="Times New Roman" w:cs="Times New Roman" w:eastAsia="Times New Roman" w:hAnsi="Times New Roman"/>
          <w:b/>
          <w:bCs/>
          <w:sz w:val="32"/>
          <w:szCs w:val="32"/>
        </w:rPr>
        <w:t xml:space="preserve">Daftar Referensi Bab IV</w:t>
      </w:r>
    </w:p>
    <w:p>
      <w:pPr>
        <w:keepNext w:val="false"/>
        <w:spacing w:after="200" w:line="360"/>
        <w:jc w:val="both"/>
      </w:pPr>
      <w:r>
        <w:rPr>
          <w:rFonts w:ascii="Times New Roman" w:cs="Times New Roman" w:eastAsia="Times New Roman" w:hAnsi="Times New Roman"/>
          <w:sz w:val="24"/>
          <w:szCs w:val="24"/>
        </w:rPr>
        <w:t xml:space="preserve">Daftar berikut memuat seluruh sumber yang disitasi pada BAB IV (khusus bagian F. Pembahasan; bagian A–E tidak memuat sitasi bibliografis). Kode referensi (BIV-01 s.d. BIV-19) digunakan sebagai penanda internal untuk keperluan pelacakan pada Master Reference Register dan tidak menggantikan sistem sitasi author–date pada teks. Seluruh 19 sumber berikut telah terverifikasi overlap dengan BAB I dan/atau BAB II sehingga tidak menambah jumlah kumulatif sumber unik tesis (tetap 34).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900"/>
      </w:tblGrid>
      <w:tr>
        <w:tc>
          <w:tcPr>
            <w:tcW w:type="dxa" w:w="1100"/>
            <w:shd w:fill="D9D9D9" w:val="clear"/>
            <w:tcMar>
              <w:top w:type="dxa" w:w="100"/>
              <w:left w:type="dxa" w:w="120"/>
              <w:bottom w:type="dxa" w:w="100"/>
              <w:right w:type="dxa" w:w="120"/>
            </w:tcMar>
          </w:tcPr>
          <w:p>
            <w:pPr>
              <w:spacing w:line="300"/>
              <w:jc w:val="center"/>
            </w:pPr>
            <w:r>
              <w:rPr>
                <w:rFonts w:ascii="Times New Roman" w:cs="Times New Roman" w:eastAsia="Times New Roman" w:hAnsi="Times New Roman"/>
                <w:b/>
                <w:bCs/>
                <w:sz w:val="22"/>
                <w:szCs w:val="22"/>
              </w:rPr>
              <w:t xml:space="preserve">Kode</w:t>
            </w:r>
          </w:p>
        </w:tc>
        <w:tc>
          <w:tcPr>
            <w:tcW w:type="dxa" w:w="6600"/>
            <w:shd w:fill="D9D9D9"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2"/>
                <w:szCs w:val="22"/>
              </w:rPr>
              <w:t xml:space="preserve">Referensi (format APA)</w:t>
            </w:r>
          </w:p>
        </w:tc>
        <w:tc>
          <w:tcPr>
            <w:tcW w:type="dxa" w:w="1900"/>
            <w:shd w:fill="D9D9D9"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2"/>
                <w:szCs w:val="22"/>
              </w:rPr>
              <w:t xml:space="preserve">Digunakan pada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BIV-01</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Amrullah, Z., &amp; Mutholingah, S. (2025). Tradition meets modernity: A study on classic book (turats) learning at Sidogiri Pesantren. EDUKASI, 23(2), 208–226. https://doi.org/10.32729/edukasi.v23i2.1893</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BIV-02</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Ardiansyah, A. A., Musthafa, I., Syafei, I., &amp; Sanah, S. (2024). Streamlining Arabic grammar to facilitate mastery of qirā’at al-kutub for university students. Arabiyat, 11(2), 221–233. https://doi.org/10.15408/a.v11i2.42517</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F.3.d</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BIV-03</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Arif, M., Harun, M., &amp; Nor Abd Aziz, M. K. (2023). A systematic review trend of learning methods for reading the kitab kuning at pesantren (2000–2022). Journal of Islamic Civilization, 4(2), 146–164. https://doi.org/10.33086/jic.v4i2.3578</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F.3.b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BIV-04</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Bengesai, A. V., Amusa, L. B., &amp; Dhunpath, R. (2023). A meta-analysis on the effect of formal peer learning approaches on course performance in higher education. Cogent Education, 10(1), 2203990. https://doi.org/10.1080/2331186X.2023.2203990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F.2.c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BIV-05</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Bin Sawad, N., Law, J. M., Tibi, S., &amp; Boese, K. (2022). Arabic metalinguistic knowledge predicts reading comprehension: A scoping review. Frontiers in Communication, 7, 984340. https://doi.org/10.3389/fcomm.2022.984340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BIV-06</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Budiman, A., Anwar, S., Zarkasyi, A., &amp; Lateh, A. (2025). Constructing the body of knowledge of pesantren education: A philosophical, historical, and curricular inquiry. At-Ta’dib, 20(1), 1–18. https://doi.org/10.21111/attadib.v20i1.14723</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BIV-07</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Cahyadi, I., Yunani, A., Dachlan, M., &amp; Suhendra, A. (2025). The sociology of knowledge in pesantren: Sanad, sorogan-bandongan, and the making of intellectual authority. Al-Tahrir, 25(2), 439–462. https://doi.org/10.21154/altahrir.v25i2.10952</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BIV-08</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Guo, Z., &amp; Fryer, L. K. (2025). What really elicits learners’ situational interest in learning activities? Current Psychology, 44, 587–601. https://doi.org/10.1007/s12144-024-07176-x</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BIV-09</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Ilmiani, A. M., Miolo, M. I., Hunainah, &amp; Maghfurin, A. (2022). Building literacy in reading foreign language books for Arabic education students. Arabiyat, 9(1), 44–55. https://doi.org/10.15408/a.v9i1.20312</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BIV-10</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Lai, C., Chen, Q., Wang, Y., &amp; Qi, X. (2024). Individual interest, self-regulation, and self-directed language learning with technology beyond the classroom. British Journal of Educational Technology, 55(1), 379–397. https://doi.org/10.1111/bjet.13366</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BIV-11</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Li, J., &amp; Xue, E. (2023). Dynamic interaction between student learning behaviour and learning environment: Meta-analysis of student engagement and its influencing factors. Behavioral Sciences, 13(1), 59. https://doi.org/10.3390/bs13010059</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BIV-12</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Mirawati, H., Tjahjono, K., Hamami, T., &amp; Suud, F. M. (2025). Self-management strategy of students in facing FOMO challenges and increasing social media involvement in Islamic boarding school. Nazhruna, 8(1), 1–16. https://doi.org/10.31538/nzh.v8i1.129</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F.2.g</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BIV-13</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Muhlis, A., Wardi, M. C., Mardhatillah, M., Wahyuningrum, S. R., &amp; Hayatullah, I. K. (2025). Transformation beyond transgression: Resistance-based system improvement in kitab kuning reading acceleration program. Nazhruna, 8(3), 535–549. https://doi.org/10.31538/nzh.v8i3.214</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F.2.f</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BIV-14</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Nashihin, M. I., Majeed, M. K., Derysmono, Armadi, A., &amp; Syukur, A. (2025). The role of pesantren culture in developing academic character: A study on the positive impact of the cultural environment at Pesantren Luhur Sabilussalam. Mimbar Agama Budaya, 42(1), 89–105. https://doi.org/10.15408/mimbar.v42i1.45255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F.1.b; F.2.a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BIV-15</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Shalihah, S., Nisa, U., &amp; Yani, A. (2023). Implementation of inquiry learning method in maharah al-qiro’ah. Jurnal Al Bayan, 15(2), 454–471. https://doi.org/10.24042/albayan.v15i2.16627</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BIV-16</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Syafei, I., Suleman, E., &amp; Rohanda. (2024). The development of student reading skills in Arabic for reading Islamic classical books using the Arabic learning model at Indonesian Islamic boarding schools. Theory and Practice in Language Studies, 14(5), 1381–1392. https://doi.org/10.17507/tpls.1405.10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F.3.f</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BIV-17</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Syaifudin, M., Musadad, A., Fauzi, A. Z., Zahro, U. I., Nahidloh, S., &amp; Pujiati, T. (2025). The role of Al-Miftah lil Ulum method in enhancing santri’s contextual kitab kuning literacy competence. Scaffolding, 7(3), 106–123. https://doi.org/10.37680/scaffolding.v7i3.7865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F.2.e; F.3.c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BIV-18</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Vargas-Madriz, L. F., Konishi, C., &amp; Wong, T. K. (2024). A meta-analysis of the association between teacher support and school engagement. Social Development, 33(4), e12745. https://doi.org/10.1111/sode.12745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F.2.b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BIV-19</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Villarreal Arroyo, Y. P., Peñabaena-Niebles, R., &amp; Berdugo Correa, C. (2023). Influence of environmental conditions on students’ learning processes: A systematic review. Building and Environment, 231, 110051. https://doi.org/10.1016/j.buildenv.2023.110051</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F.1.a; F.2.d</w:t>
            </w:r>
          </w:p>
        </w:tc>
      </w:tr>
    </w:tbl>
    <w:p>
      <w:pPr>
        <w:spacing w:before="300"/>
      </w:pPr>
      <w:r>
        <w:rPr>
          <w:sz w:val="22"/>
          <w:szCs w:val="22"/>
        </w:rPr>
        <w:t xml:space="preserve"/>
      </w:r>
    </w:p>
    <w:p>
      <w:pPr>
        <w:keepNext w:val="false"/>
        <w:spacing w:after="200" w:line="360"/>
        <w:jc w:val="both"/>
      </w:pPr>
      <w:r>
        <w:rPr>
          <w:rFonts w:ascii="Times New Roman" w:cs="Times New Roman" w:eastAsia="Times New Roman" w:hAnsi="Times New Roman"/>
          <w:sz w:val="24"/>
          <w:szCs w:val="24"/>
        </w:rPr>
        <w:t xml:space="preserve">Catatan: kode BIV-01 s.d. BIV-19 disusun berdasarkan urutan abjad nama penulis pertama, semata-mata untuk memudahkan pelacakan silang pada Master Reference Register tesis secara keseluruhan. Kode ini bersifat internal dan tidak digunakan sebagai format sitasi dalam teks (teks tetap menggunakan sistem author–date sesuai gaya selingkung yang berlaku).</w:t>
      </w:r>
    </w:p>
    <w:sectPr>
      <w:headerReference w:type="default" r:id="rId7"/>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BAB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2026-09-06T01:13:23.386Z</dcterms:created>
  <dcterms:modified xsi:type="dcterms:W3CDTF">2026-09-06T01:13:23.397Z</dcterms:modified>
</cp:coreProperties>
</file>

<file path=docProps/custom.xml><?xml version="1.0" encoding="utf-8"?>
<Properties xmlns="http://schemas.openxmlformats.org/officeDocument/2006/custom-properties" xmlns:vt="http://schemas.openxmlformats.org/officeDocument/2006/docPropsVTypes"/>
</file>