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BAB III</w:t>
      </w:r>
    </w:p>
    <w:p>
      <w:pPr>
        <w:spacing w:after="400"/>
        <w:jc w:val="center"/>
      </w:pPr>
      <w:r>
        <w:rPr>
          <w:rFonts w:ascii="Times New Roman" w:cs="Times New Roman" w:eastAsia="Times New Roman" w:hAnsi="Times New Roman"/>
          <w:b/>
          <w:bCs/>
          <w:sz w:val="32"/>
          <w:szCs w:val="32"/>
        </w:rPr>
        <w:t xml:space="preserve">METODE PENELITIAN</w:t>
      </w:r>
    </w:p>
    <w:p>
      <w:pPr>
        <w:pStyle w:val="Heading1"/>
        <w:spacing w:after="200" w:before="400"/>
      </w:pPr>
      <w:r>
        <w:rPr>
          <w:rFonts w:ascii="Times New Roman" w:cs="Times New Roman" w:eastAsia="Times New Roman" w:hAnsi="Times New Roman"/>
          <w:b/>
          <w:bCs/>
          <w:sz w:val="28"/>
          <w:szCs w:val="28"/>
        </w:rPr>
        <w:t xml:space="preserve">A. Pendekatan dan Jenis Penelitian</w:t>
      </w:r>
    </w:p>
    <w:p>
      <w:pPr>
        <w:spacing w:after="200" w:line="360"/>
        <w:ind w:firstLine="567"/>
        <w:jc w:val="both"/>
      </w:pPr>
      <w:r>
        <w:rPr>
          <w:rFonts w:ascii="Times New Roman" w:cs="Times New Roman" w:eastAsia="Times New Roman" w:hAnsi="Times New Roman"/>
          <w:b w:val="false"/>
          <w:bCs w:val="false"/>
          <w:i w:val="false"/>
          <w:iCs w:val="false"/>
          <w:sz w:val="24"/>
          <w:szCs w:val="24"/>
        </w:rPr>
        <w:t xml:space="preserve">Penelitian ini menggunakan pendekatan kualitatif karena fokus penelitian diarahkan pada pemahaman secara mendalam terhadap strategi lingkungan pembelajaran pesantren, faktor pendukung dan penghambatnya, serta keterkaitannya dengan minat belajar kitab turats dan perkembangan maharah qira'ah santri. Pendekatan kualitatif memungkinkan fenomena tersebut dipahami berdasarkan pengalaman, praktik, interaksi, dan pemaknaan para aktor dalam konteks kelembagaan masing-masing pesantren. Secara metodologis, penelitian kualitatif memberikan perhatian terhadap makna dan proses yang berlangsung dalam konteks alamiah serta menempatkan peneliti sebagai instrumen utama dalam proses penelitian (Creswell &amp; Poth, 2024).</w:t>
      </w:r>
    </w:p>
    <w:p>
      <w:pPr>
        <w:spacing w:after="200" w:line="360"/>
        <w:ind w:firstLine="567"/>
        <w:jc w:val="both"/>
      </w:pPr>
      <w:r>
        <w:rPr>
          <w:rFonts w:ascii="Times New Roman" w:cs="Times New Roman" w:eastAsia="Times New Roman" w:hAnsi="Times New Roman"/>
          <w:b w:val="false"/>
          <w:bCs w:val="false"/>
          <w:i w:val="false"/>
          <w:iCs w:val="false"/>
          <w:sz w:val="24"/>
          <w:szCs w:val="24"/>
        </w:rPr>
        <w:t xml:space="preserve">Penelitian ini berpijak pada paradigma konstruktivis–interpretatif. Paradigma tersebut digunakan karena realitas mengenai lingkungan pembelajaran pesantren tidak dipandang sebagai realitas tunggal yang terlepas dari konteks, tetapi dipahami melalui pengalaman dan pemaknaan pengasuh, ustaz, pengurus, santri, serta informan lain yang relevan. Dengan demikian, interpretasi terhadap strategi lingkungan pembelajaran dilakukan dengan mempertimbangkan konteks sosial, akademik, religius, dan kelembagaan masing-masing situs (Creswell &amp; Poth, 2024).</w:t>
      </w:r>
    </w:p>
    <w:p>
      <w:pPr>
        <w:spacing w:after="200" w:line="360"/>
        <w:ind w:firstLine="567"/>
        <w:jc w:val="both"/>
      </w:pPr>
      <w:r>
        <w:rPr>
          <w:rFonts w:ascii="Times New Roman" w:cs="Times New Roman" w:eastAsia="Times New Roman" w:hAnsi="Times New Roman"/>
          <w:b w:val="false"/>
          <w:bCs w:val="false"/>
          <w:i w:val="false"/>
          <w:iCs w:val="false"/>
          <w:sz w:val="24"/>
          <w:szCs w:val="24"/>
        </w:rPr>
        <w:t xml:space="preserve">Jenis penelitian yang digunakan adalah studi multisitus. Desain ini dipilih karena penelitian dilaksanakan pada dua pesantren yang sama-sama relevan dengan fokus pembelajaran kitab turats dan menyediakan dua konteks kelembagaan untuk memahami fenomena penelitian. Logika </w:t>
      </w:r>
      <w:r>
        <w:rPr>
          <w:rFonts w:ascii="Times New Roman" w:cs="Times New Roman" w:eastAsia="Times New Roman" w:hAnsi="Times New Roman"/>
          <w:b w:val="false"/>
          <w:bCs w:val="false"/>
          <w:i/>
          <w:iCs/>
          <w:sz w:val="24"/>
          <w:szCs w:val="24"/>
        </w:rPr>
        <w:t xml:space="preserve">multiple case study</w:t>
      </w:r>
      <w:r>
        <w:rPr>
          <w:rFonts w:ascii="Times New Roman" w:cs="Times New Roman" w:eastAsia="Times New Roman" w:hAnsi="Times New Roman"/>
          <w:b w:val="false"/>
          <w:bCs w:val="false"/>
          <w:i w:val="false"/>
          <w:iCs w:val="false"/>
          <w:sz w:val="24"/>
          <w:szCs w:val="24"/>
        </w:rPr>
        <w:t xml:space="preserve"> digunakan sebagai rujukan metodologis untuk memahami masing-masing situs secara kontekstual terlebih dahulu dan selanjutnya melakukan pembandingan lintas situs (Vohra, 2024). Studi multisitus dalam penelitian ini tidak dimaksudkan untuk menghasilkan generalisasi statistik atau menentukan situs yang lebih unggul, tetapi untuk memahami pola, persamaan, perbedaan, serta variasi strategi lingkungan pembelajaran berdasarkan data pada kedua konteks penelitian.</w:t>
      </w:r>
    </w:p>
    <w:p>
      <w:pPr>
        <w:pStyle w:val="Heading1"/>
        <w:spacing w:after="200" w:before="400"/>
      </w:pPr>
      <w:r>
        <w:rPr>
          <w:rFonts w:ascii="Times New Roman" w:cs="Times New Roman" w:eastAsia="Times New Roman" w:hAnsi="Times New Roman"/>
          <w:b/>
          <w:bCs/>
          <w:sz w:val="28"/>
          <w:szCs w:val="28"/>
        </w:rPr>
        <w:t xml:space="preserve">B. Kehadiran Peneliti</w:t>
      </w:r>
    </w:p>
    <w:p>
      <w:pPr>
        <w:spacing w:after="200" w:line="360"/>
        <w:ind w:firstLine="567"/>
        <w:jc w:val="both"/>
      </w:pPr>
      <w:r>
        <w:rPr>
          <w:rFonts w:ascii="Times New Roman" w:cs="Times New Roman" w:eastAsia="Times New Roman" w:hAnsi="Times New Roman"/>
          <w:b w:val="false"/>
          <w:bCs w:val="false"/>
          <w:i w:val="false"/>
          <w:iCs w:val="false"/>
          <w:sz w:val="24"/>
          <w:szCs w:val="24"/>
        </w:rPr>
        <w:t xml:space="preserve">Dalam penelitian kualitatif, peneliti merupakan instrumen utama yang terlibat secara langsung dalam proses pengumpulan, pengorganisasian, penafsiran, dan analisis data. Posisi </w:t>
      </w:r>
      <w:r>
        <w:rPr>
          <w:rFonts w:ascii="Times New Roman" w:cs="Times New Roman" w:eastAsia="Times New Roman" w:hAnsi="Times New Roman"/>
          <w:b w:val="false"/>
          <w:bCs w:val="false"/>
          <w:i/>
          <w:iCs/>
          <w:sz w:val="24"/>
          <w:szCs w:val="24"/>
        </w:rPr>
        <w:t xml:space="preserve">researcher-as-instrument</w:t>
      </w:r>
      <w:r>
        <w:rPr>
          <w:rFonts w:ascii="Times New Roman" w:cs="Times New Roman" w:eastAsia="Times New Roman" w:hAnsi="Times New Roman"/>
          <w:b w:val="false"/>
          <w:bCs w:val="false"/>
          <w:i w:val="false"/>
          <w:iCs w:val="false"/>
          <w:sz w:val="24"/>
          <w:szCs w:val="24"/>
        </w:rPr>
        <w:t xml:space="preserve"> menuntut peneliti untuk menyadari bahwa proses interpretasi tidak dapat dilepaskan sepenuhnya dari posisi peneliti, sehingga diperlukan kehati-hatian dan refleksivitas selama proses penelitian (Yoon &amp; Uliassi, 2022).</w:t>
      </w:r>
    </w:p>
    <w:p>
      <w:pPr>
        <w:spacing w:after="200" w:line="360"/>
        <w:ind w:firstLine="567"/>
        <w:jc w:val="both"/>
      </w:pPr>
      <w:r>
        <w:rPr>
          <w:rFonts w:ascii="Times New Roman" w:cs="Times New Roman" w:eastAsia="Times New Roman" w:hAnsi="Times New Roman"/>
          <w:i w:val="false"/>
          <w:iCs w:val="false"/>
          <w:sz w:val="24"/>
          <w:szCs w:val="24"/>
        </w:rPr>
        <w:t xml:space="preserve">Dalam penelitian ini, peneliti hadir langsung di kedua lokasi penelitian untuk melakukan observasi, wawancara mendalam semi-terstruktur, pengumpulan dokumen, pencatatan data lapangan, serta pengorganisasian dan analisis data. Kehadiran peneliti dalam kegiatan observasi terutama berupa pengamatan langsung terhadap aktivitas yang relevan dengan fokus penelitian dan interaksi seperlunya untuk memahami konteks. Peneliti tidak menempatkan diri sebagai partisipan penuh dalam seluruh aktivitas santri.</w:t>
      </w:r>
    </w:p>
    <w:p>
      <w:pPr>
        <w:spacing w:after="200" w:line="360"/>
        <w:ind w:firstLine="567"/>
        <w:jc w:val="both"/>
      </w:pPr>
      <w:r>
        <w:rPr>
          <w:rFonts w:ascii="Times New Roman" w:cs="Times New Roman" w:eastAsia="Times New Roman" w:hAnsi="Times New Roman"/>
          <w:i w:val="false"/>
          <w:iCs w:val="false"/>
          <w:sz w:val="24"/>
          <w:szCs w:val="24"/>
        </w:rPr>
        <w:t xml:space="preserve">Selama proses penelitian, peneliti berupaya menjaga etika penelitian, kerahasiaan informasi yang bersifat personal, hubungan yang baik dengan pihak pesantren, serta penghormatan terhadap norma dan budaya yang berlaku pada masing-masing lokasi penelitian.</w:t>
      </w:r>
    </w:p>
    <w:p>
      <w:pPr>
        <w:pStyle w:val="Heading1"/>
        <w:spacing w:after="200" w:before="400"/>
      </w:pPr>
      <w:r>
        <w:rPr>
          <w:rFonts w:ascii="Times New Roman" w:cs="Times New Roman" w:eastAsia="Times New Roman" w:hAnsi="Times New Roman"/>
          <w:b/>
          <w:bCs/>
          <w:sz w:val="28"/>
          <w:szCs w:val="28"/>
        </w:rPr>
        <w:t xml:space="preserve">C. Lokasi Penelitian</w:t>
      </w:r>
    </w:p>
    <w:p>
      <w:pPr>
        <w:spacing w:after="200" w:line="360"/>
        <w:ind w:firstLine="567"/>
        <w:jc w:val="both"/>
      </w:pPr>
      <w:r>
        <w:rPr>
          <w:rFonts w:ascii="Times New Roman" w:cs="Times New Roman" w:eastAsia="Times New Roman" w:hAnsi="Times New Roman"/>
          <w:i w:val="false"/>
          <w:iCs w:val="false"/>
          <w:sz w:val="24"/>
          <w:szCs w:val="24"/>
        </w:rPr>
        <w:t xml:space="preserve">Penelitian dilaksanakan pada dua situs, yaitu:</w:t>
      </w:r>
    </w:p>
    <w:p>
      <w:pPr>
        <w:pStyle w:val="ListParagraph"/>
        <w:numPr>
          <w:ilvl w:val="0"/>
          <w:numId w:val="1"/>
        </w:numPr>
        <w:spacing w:after="100"/>
      </w:pPr>
      <w:r>
        <w:rPr>
          <w:rFonts w:ascii="Times New Roman" w:cs="Times New Roman" w:eastAsia="Times New Roman" w:hAnsi="Times New Roman"/>
          <w:sz w:val="24"/>
          <w:szCs w:val="24"/>
        </w:rPr>
        <w:t xml:space="preserve">Pondok Pesantren An-Najiyah II Bahrul Ulum, Jombang, Jawa Timur, sebagai Situs 1; dan</w:t>
      </w:r>
    </w:p>
    <w:p>
      <w:pPr>
        <w:pStyle w:val="ListParagraph"/>
        <w:numPr>
          <w:ilvl w:val="0"/>
          <w:numId w:val="1"/>
        </w:numPr>
        <w:spacing w:after="100"/>
      </w:pPr>
      <w:r>
        <w:rPr>
          <w:rFonts w:ascii="Times New Roman" w:cs="Times New Roman" w:eastAsia="Times New Roman" w:hAnsi="Times New Roman"/>
          <w:sz w:val="24"/>
          <w:szCs w:val="24"/>
        </w:rPr>
        <w:t xml:space="preserve">Pondok Pesantren Asy-Syafa'ah, Karawang, Jawa Barat, sebagai Situs 2.</w:t>
      </w:r>
    </w:p>
    <w:p>
      <w:pPr>
        <w:spacing w:after="200" w:line="360"/>
        <w:ind w:firstLine="567"/>
        <w:jc w:val="both"/>
      </w:pPr>
      <w:r>
        <w:rPr>
          <w:rFonts w:ascii="Times New Roman" w:cs="Times New Roman" w:eastAsia="Times New Roman" w:hAnsi="Times New Roman"/>
          <w:i w:val="false"/>
          <w:iCs w:val="false"/>
          <w:sz w:val="24"/>
          <w:szCs w:val="24"/>
        </w:rPr>
        <w:t xml:space="preserve">Pemilihan kedua situs didasarkan pada relevansinya dengan fokus penelitian. Keduanya sama-sama menyelenggarakan pembelajaran kitab turats dan menyediakan dua konteks kelembagaan yang memungkinkan fenomena penelitian dianalisis terlebih dahulu pada masing-masing situs, kemudian dibandingkan secara lintas situs.</w:t>
      </w:r>
    </w:p>
    <w:p>
      <w:pPr>
        <w:spacing w:after="200" w:line="360"/>
        <w:ind w:firstLine="567"/>
        <w:jc w:val="both"/>
      </w:pPr>
      <w:r>
        <w:rPr>
          <w:rFonts w:ascii="Times New Roman" w:cs="Times New Roman" w:eastAsia="Times New Roman" w:hAnsi="Times New Roman"/>
          <w:i w:val="false"/>
          <w:iCs w:val="false"/>
          <w:sz w:val="24"/>
          <w:szCs w:val="24"/>
        </w:rPr>
        <w:t xml:space="preserve">Pemilihan dua situs tersebut tidak dimaksudkan untuk melakukan pemeringkatan atau menentukan pesantren yang lebih baik. Kedua situs dipahami sebagai konteks kelembagaan yang mempunyai karakteristik masing-masing dan dianalisis berdasarkan data yang diperoleh pada setiap lokasi.</w:t>
      </w:r>
    </w:p>
    <w:p>
      <w:pPr>
        <w:pStyle w:val="Heading1"/>
        <w:spacing w:after="200" w:before="400"/>
      </w:pPr>
      <w:r>
        <w:rPr>
          <w:rFonts w:ascii="Times New Roman" w:cs="Times New Roman" w:eastAsia="Times New Roman" w:hAnsi="Times New Roman"/>
          <w:b/>
          <w:bCs/>
          <w:sz w:val="28"/>
          <w:szCs w:val="28"/>
        </w:rPr>
        <w:t xml:space="preserve">D. Data dan Sumber Data</w:t>
      </w:r>
    </w:p>
    <w:p>
      <w:pPr>
        <w:pStyle w:val="Heading2"/>
        <w:spacing w:after="150" w:before="300"/>
      </w:pPr>
      <w:r>
        <w:rPr>
          <w:rFonts w:ascii="Times New Roman" w:cs="Times New Roman" w:eastAsia="Times New Roman" w:hAnsi="Times New Roman"/>
          <w:b/>
          <w:bCs/>
          <w:sz w:val="24"/>
          <w:szCs w:val="24"/>
        </w:rPr>
        <w:t xml:space="preserve">1. Data Penelitian</w:t>
      </w:r>
    </w:p>
    <w:p>
      <w:pPr>
        <w:spacing w:after="200" w:line="360"/>
        <w:ind w:firstLine="567"/>
        <w:jc w:val="both"/>
      </w:pPr>
      <w:r>
        <w:rPr>
          <w:rFonts w:ascii="Times New Roman" w:cs="Times New Roman" w:eastAsia="Times New Roman" w:hAnsi="Times New Roman"/>
          <w:i w:val="false"/>
          <w:iCs w:val="false"/>
          <w:sz w:val="24"/>
          <w:szCs w:val="24"/>
        </w:rPr>
        <w:t xml:space="preserve">Data penelitian terdiri atas data yang diperoleh melalui wawancara, observasi, catatan lapangan, dan dokumentasi yang relevan dengan fokus penelitian. Data diarahkan pada strategi lingkungan pembelajaran pesantren yang mencakup dimensi fisik, akademik, sosial, dan religius; minat belajar kitab turats; faktor pendukung dan penghambat strategi; praktik membaca kitab; serta perkembangan maharah qira'ah.</w:t>
      </w:r>
    </w:p>
    <w:p>
      <w:pPr>
        <w:spacing w:after="200" w:line="360"/>
        <w:ind w:firstLine="567"/>
        <w:jc w:val="both"/>
      </w:pPr>
      <w:r>
        <w:rPr>
          <w:rFonts w:ascii="Times New Roman" w:cs="Times New Roman" w:eastAsia="Times New Roman" w:hAnsi="Times New Roman"/>
          <w:b w:val="false"/>
          <w:bCs w:val="false"/>
          <w:i w:val="false"/>
          <w:iCs w:val="false"/>
          <w:sz w:val="24"/>
          <w:szCs w:val="24"/>
        </w:rPr>
        <w:t xml:space="preserve">Data tidak berupa skor kuantitatif, hasil </w:t>
      </w:r>
      <w:r>
        <w:rPr>
          <w:rFonts w:ascii="Times New Roman" w:cs="Times New Roman" w:eastAsia="Times New Roman" w:hAnsi="Times New Roman"/>
          <w:b w:val="false"/>
          <w:bCs w:val="false"/>
          <w:i/>
          <w:iCs/>
          <w:sz w:val="24"/>
          <w:szCs w:val="24"/>
        </w:rPr>
        <w:t xml:space="preserve">pre-test–post-test</w:t>
      </w:r>
      <w:r>
        <w:rPr>
          <w:rFonts w:ascii="Times New Roman" w:cs="Times New Roman" w:eastAsia="Times New Roman" w:hAnsi="Times New Roman"/>
          <w:b w:val="false"/>
          <w:bCs w:val="false"/>
          <w:i w:val="false"/>
          <w:iCs w:val="false"/>
          <w:sz w:val="24"/>
          <w:szCs w:val="24"/>
        </w:rPr>
        <w:t xml:space="preserve">, skala minat, ataupun tes eksperimen maharah qira'ah. Minat dan perkembangan qira'ah ditelaah secara kualitatif melalui pengalaman informan, hasil observasi, praktik pembelajaran, catatan penelitian, dan dokumentasi yang relevan.</w:t>
      </w:r>
    </w:p>
    <w:p>
      <w:pPr>
        <w:pStyle w:val="Heading2"/>
        <w:spacing w:after="150" w:before="300"/>
      </w:pPr>
      <w:r>
        <w:rPr>
          <w:rFonts w:ascii="Times New Roman" w:cs="Times New Roman" w:eastAsia="Times New Roman" w:hAnsi="Times New Roman"/>
          <w:b/>
          <w:bCs/>
          <w:sz w:val="24"/>
          <w:szCs w:val="24"/>
        </w:rPr>
        <w:t xml:space="preserve">2. Sumber Data</w:t>
      </w:r>
    </w:p>
    <w:p>
      <w:pPr>
        <w:spacing w:after="200" w:line="360"/>
        <w:ind w:firstLine="567"/>
        <w:jc w:val="both"/>
      </w:pPr>
      <w:r>
        <w:rPr>
          <w:rFonts w:ascii="Times New Roman" w:cs="Times New Roman" w:eastAsia="Times New Roman" w:hAnsi="Times New Roman"/>
          <w:i w:val="false"/>
          <w:iCs w:val="false"/>
          <w:sz w:val="24"/>
          <w:szCs w:val="24"/>
        </w:rPr>
        <w:t xml:space="preserve">Sumber data utama penelitian berasal dari informan yang dipilih secara purposif berdasarkan keterkaitan pengalaman dan perannya dengan fenomena yang diteliti. Pemilihan informan secara purposif digunakan untuk memperoleh informasi dari individu yang mempunyai pengetahuan, keterlibatan, atau pengalaman yang relevan dengan fokus penelitian (Ahmad &amp; Wilkins, 2025).</w:t>
      </w:r>
    </w:p>
    <w:p>
      <w:pPr>
        <w:spacing w:after="200" w:line="360"/>
        <w:ind w:firstLine="567"/>
        <w:jc w:val="both"/>
      </w:pPr>
      <w:r>
        <w:rPr>
          <w:rFonts w:ascii="Times New Roman" w:cs="Times New Roman" w:eastAsia="Times New Roman" w:hAnsi="Times New Roman"/>
          <w:i w:val="false"/>
          <w:iCs w:val="false"/>
          <w:sz w:val="24"/>
          <w:szCs w:val="24"/>
        </w:rPr>
        <w:t xml:space="preserve">Jumlah informan yang diwawancarai adalah 11 orang, terdiri atas lima informan pada Situs 1 dan enam informan pada Situs 2.</w:t>
      </w:r>
    </w:p>
    <w:p>
      <w:pPr>
        <w:spacing w:after="100" w:before="200"/>
        <w:jc w:val="center"/>
      </w:pPr>
      <w:r>
        <w:rPr>
          <w:rFonts w:ascii="Times New Roman" w:cs="Times New Roman" w:eastAsia="Times New Roman" w:hAnsi="Times New Roman"/>
          <w:b/>
          <w:bCs/>
          <w:sz w:val="24"/>
          <w:szCs w:val="24"/>
        </w:rPr>
        <w:t xml:space="preserve">Tabel 3.1 Pelaksanaan Wawancara Penelitian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2400"/>
      </w:tblGrid>
      <w:tr>
        <w:trPr>
          <w:tblHeader/>
        </w:trPr>
        <w:tc>
          <w:tcPr>
            <w:tcW w:type="dxa" w:w="12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Situs</w:t>
            </w:r>
          </w:p>
        </w:tc>
        <w:tc>
          <w:tcPr>
            <w:tcW w:type="dxa" w:w="32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Informan</w:t>
            </w:r>
          </w:p>
        </w:tc>
        <w:tc>
          <w:tcPr>
            <w:tcW w:type="dxa" w:w="20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Kode</w:t>
            </w:r>
          </w:p>
        </w:tc>
        <w:tc>
          <w:tcPr>
            <w:tcW w:type="dxa" w:w="2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Tanggal</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S1</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Pengasuh/Pimpinan</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PA-S1-01</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14 April 2026</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S1</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Ustaz Pengampu Kitab</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US-S1-02</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15 April 2026</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S1</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Pengurus/Divisi Pendidikan</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PG-S1-03</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16 April 2026</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S1</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Santri Senior</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SS-S1-04</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16 April 2026</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S1</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Santri Junior</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SJ-S1-05</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16 April 2026</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S2</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Pengasuh/Pimpinan</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PA-S2-01</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 Juni 2026</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S2</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Ustaz Pengampu Kitab</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US-S2-02</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2 Juni 2026</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S2</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Pengurus</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PG-S2-03</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 Juni 2026</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S2</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Santri Senior</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SS-S2-04</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 Juni 2026</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S2</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Santri Junior</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SJ-S2-05</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3 Juni 2026</w:t>
            </w:r>
          </w:p>
        </w:tc>
      </w:tr>
      <w:tr>
        <w:tc>
          <w:tcPr>
            <w:tcW w:type="dxa" w:w="1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S2</w:t>
            </w:r>
          </w:p>
        </w:tc>
        <w:tc>
          <w:tcPr>
            <w:tcW w:type="dxa" w:w="32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Alumni</w:t>
            </w:r>
          </w:p>
        </w:tc>
        <w:tc>
          <w:tcPr>
            <w:tcW w:type="dxa" w:w="2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AL-S2-06</w:t>
            </w:r>
          </w:p>
        </w:tc>
        <w:tc>
          <w:tcPr>
            <w:tcW w:type="dxa" w:w="24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4 Juni 2026</w:t>
            </w:r>
          </w:p>
        </w:tc>
      </w:tr>
    </w:tbl>
    <w:p>
      <w:pPr>
        <w:spacing w:before="200"/>
      </w:pPr>
    </w:p>
    <w:p>
      <w:pPr>
        <w:spacing w:after="200" w:line="360"/>
        <w:ind w:firstLine="567"/>
        <w:jc w:val="both"/>
      </w:pPr>
      <w:r>
        <w:rPr>
          <w:rFonts w:ascii="Times New Roman" w:cs="Times New Roman" w:eastAsia="Times New Roman" w:hAnsi="Times New Roman"/>
          <w:i w:val="false"/>
          <w:iCs w:val="false"/>
          <w:sz w:val="24"/>
          <w:szCs w:val="24"/>
        </w:rPr>
        <w:t xml:space="preserve">Alumni hanya digunakan sebagai informan pada Situs 2. Jumlah sebelas informan tersebut merupakan jumlah aktual informan yang diwawancarai dalam pelaksanaan penelitian, bukan angka yang diperoleh melalui rumus ukuran sampel.</w:t>
      </w:r>
    </w:p>
    <w:p>
      <w:pPr>
        <w:spacing w:after="200" w:line="360"/>
        <w:ind w:firstLine="567"/>
        <w:jc w:val="both"/>
      </w:pPr>
      <w:r>
        <w:rPr>
          <w:rFonts w:ascii="Times New Roman" w:cs="Times New Roman" w:eastAsia="Times New Roman" w:hAnsi="Times New Roman"/>
          <w:i w:val="false"/>
          <w:iCs w:val="false"/>
          <w:sz w:val="24"/>
          <w:szCs w:val="24"/>
        </w:rPr>
        <w:t xml:space="preserve">Selain informan, data diperoleh melalui observasi langsung dan dokumen yang tersedia pada masing-masing situs. Dokumen digunakan sesuai ketersediaan aktual, antara lain profil lembaga, struktur organisasi, data santri dan ustaz yang tersedia, jadwal atau dokumen pembelajaran, daftar kitab, tata tertib atau kebijakan tertentu, dokumen program, foto kegiatan, dan dokumen lain yang relevan. Ketersediaan dokumen berbeda antara Situs 1 dan Situs 2; karena itu penelitian tidak mengasumsikan bahwa semua jenis dokumen tersedia pada kedua lokasi.</w:t>
      </w:r>
    </w:p>
    <w:p>
      <w:pPr>
        <w:pStyle w:val="Heading1"/>
        <w:spacing w:after="200" w:before="400"/>
      </w:pPr>
      <w:r>
        <w:rPr>
          <w:rFonts w:ascii="Times New Roman" w:cs="Times New Roman" w:eastAsia="Times New Roman" w:hAnsi="Times New Roman"/>
          <w:b/>
          <w:bCs/>
          <w:sz w:val="28"/>
          <w:szCs w:val="28"/>
        </w:rPr>
        <w:t xml:space="preserve">E. Fokus dan Instrumen Penelitian</w:t>
      </w:r>
    </w:p>
    <w:p>
      <w:pPr>
        <w:spacing w:after="200" w:line="360"/>
        <w:ind w:firstLine="567"/>
        <w:jc w:val="both"/>
      </w:pPr>
      <w:r>
        <w:rPr>
          <w:rFonts w:ascii="Times New Roman" w:cs="Times New Roman" w:eastAsia="Times New Roman" w:hAnsi="Times New Roman"/>
          <w:i w:val="false"/>
          <w:iCs w:val="false"/>
          <w:sz w:val="24"/>
          <w:szCs w:val="24"/>
        </w:rPr>
        <w:t xml:space="preserve">Fokus penelitian diarahkan pada tiga rumusan masalah. Pertama, strategi lingkungan pembelajaran pesantren dalam meningkatkan minat belajar kitab turats. Kedua, faktor yang mendukung dan menghambat pelaksanaan strategi lingkungan pembelajaran tersebut. Ketiga, implikasi strategi terhadap minat belajar kitab turats dan perkembangan maharah qira'ah.</w:t>
      </w:r>
    </w:p>
    <w:p>
      <w:pPr>
        <w:spacing w:after="200" w:line="360"/>
        <w:ind w:firstLine="567"/>
        <w:jc w:val="both"/>
      </w:pPr>
      <w:r>
        <w:rPr>
          <w:rFonts w:ascii="Times New Roman" w:cs="Times New Roman" w:eastAsia="Times New Roman" w:hAnsi="Times New Roman"/>
          <w:i w:val="false"/>
          <w:iCs w:val="false"/>
          <w:sz w:val="24"/>
          <w:szCs w:val="24"/>
        </w:rPr>
        <w:t xml:space="preserve">Instrumen utama penelitian adalah peneliti sendiri. Untuk membantu proses pengumpulan dan pengorganisasian data, peneliti menggunakan perangkat pendukung berupa pedoman observasi, pedoman wawancara semi-terstruktur, lembar dokumentasi, catatan lapangan, serta lembar kerja pengodean dan matriks analisis.</w:t>
      </w:r>
    </w:p>
    <w:p>
      <w:pPr>
        <w:spacing w:after="200" w:line="360"/>
        <w:ind w:firstLine="567"/>
        <w:jc w:val="both"/>
      </w:pPr>
      <w:r>
        <w:rPr>
          <w:rFonts w:ascii="Times New Roman" w:cs="Times New Roman" w:eastAsia="Times New Roman" w:hAnsi="Times New Roman"/>
          <w:i w:val="false"/>
          <w:iCs w:val="false"/>
          <w:sz w:val="24"/>
          <w:szCs w:val="24"/>
        </w:rPr>
        <w:t xml:space="preserve">Pedoman wawancara bersifat semi-terstruktur sehingga pertanyaan utama digunakan sebagai panduan dan dapat dikembangkan dengan pertanyaan penggalian sesuai jawaban dan konteks informan.</w:t>
      </w:r>
    </w:p>
    <w:p>
      <w:pPr>
        <w:pStyle w:val="Heading1"/>
        <w:spacing w:after="200" w:before="400"/>
      </w:pPr>
      <w:r>
        <w:rPr>
          <w:rFonts w:ascii="Times New Roman" w:cs="Times New Roman" w:eastAsia="Times New Roman" w:hAnsi="Times New Roman"/>
          <w:b/>
          <w:bCs/>
          <w:sz w:val="28"/>
          <w:szCs w:val="28"/>
        </w:rPr>
        <w:t xml:space="preserve">F. Teknik Pengumpulan Data</w:t>
      </w:r>
    </w:p>
    <w:p>
      <w:pPr>
        <w:spacing w:after="200" w:line="360"/>
        <w:ind w:firstLine="567"/>
        <w:jc w:val="both"/>
      </w:pPr>
      <w:r>
        <w:rPr>
          <w:rFonts w:ascii="Times New Roman" w:cs="Times New Roman" w:eastAsia="Times New Roman" w:hAnsi="Times New Roman"/>
          <w:i w:val="false"/>
          <w:iCs w:val="false"/>
          <w:sz w:val="24"/>
          <w:szCs w:val="24"/>
        </w:rPr>
        <w:t xml:space="preserve">Penelitian menggunakan tiga teknik pengumpulan data, yaitu observasi langsung, wawancara mendalam semi-terstruktur, dan dokumentasi.</w:t>
      </w:r>
    </w:p>
    <w:p>
      <w:pPr>
        <w:pStyle w:val="Heading2"/>
        <w:spacing w:after="150" w:before="300"/>
      </w:pPr>
      <w:r>
        <w:rPr>
          <w:rFonts w:ascii="Times New Roman" w:cs="Times New Roman" w:eastAsia="Times New Roman" w:hAnsi="Times New Roman"/>
          <w:b/>
          <w:bCs/>
          <w:sz w:val="24"/>
          <w:szCs w:val="24"/>
        </w:rPr>
        <w:t xml:space="preserve">1. Observasi Langsung</w:t>
      </w:r>
    </w:p>
    <w:p>
      <w:pPr>
        <w:spacing w:after="200" w:line="360"/>
        <w:ind w:firstLine="567"/>
        <w:jc w:val="both"/>
      </w:pPr>
      <w:r>
        <w:rPr>
          <w:rFonts w:ascii="Times New Roman" w:cs="Times New Roman" w:eastAsia="Times New Roman" w:hAnsi="Times New Roman"/>
          <w:i w:val="false"/>
          <w:iCs w:val="false"/>
          <w:sz w:val="24"/>
          <w:szCs w:val="24"/>
        </w:rPr>
        <w:t xml:space="preserve">Observasi dilakukan dengan hadir langsung di lingkungan pesantren untuk mengamati aktivitas yang relevan dengan fokus penelitian. Objek pengamatan meliputi kondisi fisik lingkungan pembelajaran, kegiatan pembelajaran kitab turats, pola interaksi ustaz dan santri, interaksi antarsantri, pembiasaan akademik, kegiatan religius yang berkaitan dengan proses belajar, bentuk keterlibatan yang relevan dengan minat, serta praktik membaca kitab yang berkaitan dengan maharah qira'ah.</w:t>
      </w:r>
    </w:p>
    <w:p>
      <w:pPr>
        <w:spacing w:after="200" w:line="360"/>
        <w:ind w:firstLine="567"/>
        <w:jc w:val="both"/>
      </w:pPr>
      <w:r>
        <w:rPr>
          <w:rFonts w:ascii="Times New Roman" w:cs="Times New Roman" w:eastAsia="Times New Roman" w:hAnsi="Times New Roman"/>
          <w:i w:val="false"/>
          <w:iCs w:val="false"/>
          <w:sz w:val="24"/>
          <w:szCs w:val="24"/>
        </w:rPr>
        <w:t xml:space="preserve">Pada Situs 1, rangkaian sesi observasi utama yang digunakan dalam analisis berlangsung pada 11–17 April 2026, dengan catatan lapangan lanjutan pada 18 April 2026.</w:t>
      </w:r>
    </w:p>
    <w:p>
      <w:pPr>
        <w:spacing w:after="200" w:line="360"/>
        <w:ind w:firstLine="567"/>
        <w:jc w:val="both"/>
      </w:pPr>
      <w:r>
        <w:rPr>
          <w:rFonts w:ascii="Times New Roman" w:cs="Times New Roman" w:eastAsia="Times New Roman" w:hAnsi="Times New Roman"/>
          <w:i w:val="false"/>
          <w:iCs w:val="false"/>
          <w:sz w:val="24"/>
          <w:szCs w:val="24"/>
        </w:rPr>
        <w:t xml:space="preserve">Pada Situs 2, observasi utama yang terdokumentasi dilakukan pada 1 Juni 2026. Catatan lapangan lanjutan yang digunakan dalam analisis tercatat pada 18 Juni 2026.</w:t>
      </w:r>
    </w:p>
    <w:p>
      <w:pPr>
        <w:spacing w:after="200" w:line="360"/>
        <w:ind w:firstLine="567"/>
        <w:jc w:val="both"/>
      </w:pPr>
      <w:r>
        <w:rPr>
          <w:rFonts w:ascii="Times New Roman" w:cs="Times New Roman" w:eastAsia="Times New Roman" w:hAnsi="Times New Roman"/>
          <w:i w:val="false"/>
          <w:iCs w:val="false"/>
          <w:sz w:val="24"/>
          <w:szCs w:val="24"/>
        </w:rPr>
        <w:t xml:space="preserve">Hasil observasi dituangkan dalam instrumen observasi dan catatan lapangan untuk selanjutnya dibandingkan dengan data wawancara dan dokumentasi.</w:t>
      </w:r>
    </w:p>
    <w:p>
      <w:pPr>
        <w:pStyle w:val="Heading2"/>
        <w:spacing w:after="150" w:before="300"/>
      </w:pPr>
      <w:r>
        <w:rPr>
          <w:rFonts w:ascii="Times New Roman" w:cs="Times New Roman" w:eastAsia="Times New Roman" w:hAnsi="Times New Roman"/>
          <w:b/>
          <w:bCs/>
          <w:sz w:val="24"/>
          <w:szCs w:val="24"/>
        </w:rPr>
        <w:t xml:space="preserve">2. Wawancara Mendalam Semi-Terstruktur</w:t>
      </w:r>
    </w:p>
    <w:p>
      <w:pPr>
        <w:spacing w:after="200" w:line="360"/>
        <w:ind w:firstLine="567"/>
        <w:jc w:val="both"/>
      </w:pPr>
      <w:r>
        <w:rPr>
          <w:rFonts w:ascii="Times New Roman" w:cs="Times New Roman" w:eastAsia="Times New Roman" w:hAnsi="Times New Roman"/>
          <w:b w:val="false"/>
          <w:bCs w:val="false"/>
          <w:i w:val="false"/>
          <w:iCs w:val="false"/>
          <w:sz w:val="24"/>
          <w:szCs w:val="24"/>
        </w:rPr>
        <w:t xml:space="preserve">Wawancara dilakukan secara mendalam dan semi-terstruktur. Peneliti menggunakan pedoman pertanyaan sebagai acuan namun memberikan ruang bagi pengembangan pertanyaan dan </w:t>
      </w:r>
      <w:r>
        <w:rPr>
          <w:rFonts w:ascii="Times New Roman" w:cs="Times New Roman" w:eastAsia="Times New Roman" w:hAnsi="Times New Roman"/>
          <w:b w:val="false"/>
          <w:bCs w:val="false"/>
          <w:i/>
          <w:iCs/>
          <w:sz w:val="24"/>
          <w:szCs w:val="24"/>
        </w:rPr>
        <w:t xml:space="preserve">probing</w:t>
      </w:r>
      <w:r>
        <w:rPr>
          <w:rFonts w:ascii="Times New Roman" w:cs="Times New Roman" w:eastAsia="Times New Roman" w:hAnsi="Times New Roman"/>
          <w:b w:val="false"/>
          <w:bCs w:val="false"/>
          <w:i w:val="false"/>
          <w:iCs w:val="false"/>
          <w:sz w:val="24"/>
          <w:szCs w:val="24"/>
        </w:rPr>
        <w:t xml:space="preserve"> berdasarkan jawaban informan. Wawancara semi-terstruktur memungkinkan penggalian informasi secara fleksibel dengan tetap menjaga fokus penelitian (Buys et al., 2022).</w:t>
      </w:r>
    </w:p>
    <w:p>
      <w:pPr>
        <w:spacing w:after="200" w:line="360"/>
        <w:ind w:firstLine="567"/>
        <w:jc w:val="both"/>
      </w:pPr>
      <w:r>
        <w:rPr>
          <w:rFonts w:ascii="Times New Roman" w:cs="Times New Roman" w:eastAsia="Times New Roman" w:hAnsi="Times New Roman"/>
          <w:i w:val="false"/>
          <w:iCs w:val="false"/>
          <w:sz w:val="24"/>
          <w:szCs w:val="24"/>
        </w:rPr>
        <w:t xml:space="preserve">Pertanyaan wawancara mencakup strategi lingkungan pembelajaran, lingkungan fisik, akademik, sosial, dan religius, pengalaman belajar kitab turats, minat belajar, faktor pendukung dan penghambat, praktik membaca kitab, serta pengalaman perkembangan maharah qira'ah.</w:t>
      </w:r>
    </w:p>
    <w:p>
      <w:pPr>
        <w:spacing w:after="200" w:line="360"/>
        <w:ind w:firstLine="567"/>
        <w:jc w:val="both"/>
      </w:pPr>
      <w:r>
        <w:rPr>
          <w:rFonts w:ascii="Times New Roman" w:cs="Times New Roman" w:eastAsia="Times New Roman" w:hAnsi="Times New Roman"/>
          <w:i w:val="false"/>
          <w:iCs w:val="false"/>
          <w:sz w:val="24"/>
          <w:szCs w:val="24"/>
        </w:rPr>
        <w:t xml:space="preserve">Wawancara tidak direkam menggunakan alat perekam audio. Data wawancara didokumentasikan melalui pencatatan selama dan setelah wawancara. Catatan tersebut kemudian disusun secara sistematis untuk keperluan pengorganisasian dan analisis data. Dengan demikian, dokumen wawancara dalam penelitian ini tidak diposisikan sebagai transkripsi verbatim hasil rekaman audio.</w:t>
      </w:r>
    </w:p>
    <w:p>
      <w:pPr>
        <w:pStyle w:val="Heading2"/>
        <w:spacing w:after="150" w:before="300"/>
      </w:pPr>
      <w:r>
        <w:rPr>
          <w:rFonts w:ascii="Times New Roman" w:cs="Times New Roman" w:eastAsia="Times New Roman" w:hAnsi="Times New Roman"/>
          <w:b/>
          <w:bCs/>
          <w:sz w:val="24"/>
          <w:szCs w:val="24"/>
        </w:rPr>
        <w:t xml:space="preserve">3. Dokumentasi</w:t>
      </w:r>
    </w:p>
    <w:p>
      <w:pPr>
        <w:spacing w:after="200" w:line="360"/>
        <w:ind w:firstLine="567"/>
        <w:jc w:val="both"/>
      </w:pPr>
      <w:r>
        <w:rPr>
          <w:rFonts w:ascii="Times New Roman" w:cs="Times New Roman" w:eastAsia="Times New Roman" w:hAnsi="Times New Roman"/>
          <w:i w:val="false"/>
          <w:iCs w:val="false"/>
          <w:sz w:val="24"/>
          <w:szCs w:val="24"/>
        </w:rPr>
        <w:t xml:space="preserve">Dokumentasi digunakan untuk melengkapi dan membandingkan data yang diperoleh melalui observasi dan wawancara. Dokumen yang digunakan hanya dokumen yang benar-benar tersedia dan relevan pada masing-masing situs.</w:t>
      </w:r>
    </w:p>
    <w:p>
      <w:pPr>
        <w:spacing w:after="200" w:line="360"/>
        <w:ind w:firstLine="567"/>
        <w:jc w:val="both"/>
      </w:pPr>
      <w:r>
        <w:rPr>
          <w:rFonts w:ascii="Times New Roman" w:cs="Times New Roman" w:eastAsia="Times New Roman" w:hAnsi="Times New Roman"/>
          <w:i w:val="false"/>
          <w:iCs w:val="false"/>
          <w:sz w:val="24"/>
          <w:szCs w:val="24"/>
        </w:rPr>
        <w:t xml:space="preserve">Dokumentasi berfungsi untuk memberikan konteks kelembagaan, mendukung pemeriksaan informasi, serta membantu triangulasi teknik. Dokumen yang tidak tersedia tidak dianggap sebagai data penelitian dan tidak digantikan dengan dokumen yang direkonstruksi oleh peneliti.</w:t>
      </w:r>
    </w:p>
    <w:p>
      <w:pPr>
        <w:pStyle w:val="Heading1"/>
        <w:spacing w:after="200" w:before="400"/>
      </w:pPr>
      <w:r>
        <w:rPr>
          <w:rFonts w:ascii="Times New Roman" w:cs="Times New Roman" w:eastAsia="Times New Roman" w:hAnsi="Times New Roman"/>
          <w:b/>
          <w:bCs/>
          <w:sz w:val="28"/>
          <w:szCs w:val="28"/>
        </w:rPr>
        <w:t xml:space="preserve">G. Teknik Analisis Data</w:t>
      </w:r>
    </w:p>
    <w:p>
      <w:pPr>
        <w:spacing w:after="200" w:line="360"/>
        <w:ind w:firstLine="567"/>
        <w:jc w:val="both"/>
      </w:pPr>
      <w:r>
        <w:rPr>
          <w:rFonts w:ascii="Times New Roman" w:cs="Times New Roman" w:eastAsia="Times New Roman" w:hAnsi="Times New Roman"/>
          <w:b w:val="false"/>
          <w:bCs w:val="false"/>
          <w:i w:val="false"/>
          <w:iCs w:val="false"/>
          <w:sz w:val="24"/>
          <w:szCs w:val="24"/>
        </w:rPr>
        <w:t xml:space="preserve">Analisis data menggunakan model analisis kualitatif interaktif Miles, Huberman, dan Saldaña (2020), yang mencakup </w:t>
      </w:r>
      <w:r>
        <w:rPr>
          <w:rFonts w:ascii="Times New Roman" w:cs="Times New Roman" w:eastAsia="Times New Roman" w:hAnsi="Times New Roman"/>
          <w:b w:val="false"/>
          <w:bCs w:val="false"/>
          <w:i/>
          <w:iCs/>
          <w:sz w:val="24"/>
          <w:szCs w:val="24"/>
        </w:rPr>
        <w:t xml:space="preserve">data condensation, data display,</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conclusion drawing/verification.</w:t>
      </w:r>
    </w:p>
    <w:p>
      <w:pPr>
        <w:pStyle w:val="Heading2"/>
        <w:spacing w:after="150" w:before="300"/>
      </w:pPr>
      <w:r>
        <w:rPr>
          <w:rFonts w:ascii="Times New Roman" w:cs="Times New Roman" w:eastAsia="Times New Roman" w:hAnsi="Times New Roman"/>
          <w:b/>
          <w:bCs/>
          <w:sz w:val="24"/>
          <w:szCs w:val="24"/>
        </w:rPr>
        <w:t xml:space="preserve">1. Kondensasi Data</w:t>
      </w:r>
    </w:p>
    <w:p>
      <w:pPr>
        <w:spacing w:after="200" w:line="360"/>
        <w:ind w:firstLine="567"/>
        <w:jc w:val="both"/>
      </w:pPr>
      <w:r>
        <w:rPr>
          <w:rFonts w:ascii="Times New Roman" w:cs="Times New Roman" w:eastAsia="Times New Roman" w:hAnsi="Times New Roman"/>
          <w:i w:val="false"/>
          <w:iCs w:val="false"/>
          <w:sz w:val="24"/>
          <w:szCs w:val="24"/>
        </w:rPr>
        <w:t xml:space="preserve">Kondensasi data dilakukan dengan membaca kembali data wawancara, observasi, catatan lapangan, dan dokumentasi; memilih data yang relevan dengan fokus penelitian; memberikan kode; mengelompokkan unit data; serta menyusun kategori dan pola yang membantu menjawab rumusan masalah.</w:t>
      </w:r>
    </w:p>
    <w:p>
      <w:pPr>
        <w:spacing w:after="200" w:line="360"/>
        <w:ind w:firstLine="567"/>
        <w:jc w:val="both"/>
      </w:pPr>
      <w:r>
        <w:rPr>
          <w:rFonts w:ascii="Times New Roman" w:cs="Times New Roman" w:eastAsia="Times New Roman" w:hAnsi="Times New Roman"/>
          <w:i w:val="false"/>
          <w:iCs w:val="false"/>
          <w:sz w:val="24"/>
          <w:szCs w:val="24"/>
        </w:rPr>
        <w:t xml:space="preserve">Kode utama yang digunakan dalam pengorganisasian data adalah:</w:t>
      </w:r>
    </w:p>
    <w:p>
      <w:pPr>
        <w:pStyle w:val="ListParagraph"/>
        <w:numPr>
          <w:ilvl w:val="0"/>
          <w:numId w:val="1"/>
        </w:numPr>
        <w:spacing w:after="100"/>
      </w:pPr>
      <w:r>
        <w:rPr>
          <w:rFonts w:ascii="Times New Roman" w:cs="Times New Roman" w:eastAsia="Times New Roman" w:hAnsi="Times New Roman"/>
          <w:sz w:val="24"/>
          <w:szCs w:val="24"/>
        </w:rPr>
        <w:t xml:space="preserve">LF = lingkungan fisik</w:t>
      </w:r>
    </w:p>
    <w:p>
      <w:pPr>
        <w:pStyle w:val="ListParagraph"/>
        <w:numPr>
          <w:ilvl w:val="0"/>
          <w:numId w:val="1"/>
        </w:numPr>
        <w:spacing w:after="100"/>
      </w:pPr>
      <w:r>
        <w:rPr>
          <w:rFonts w:ascii="Times New Roman" w:cs="Times New Roman" w:eastAsia="Times New Roman" w:hAnsi="Times New Roman"/>
          <w:sz w:val="24"/>
          <w:szCs w:val="24"/>
        </w:rPr>
        <w:t xml:space="preserve">LA = lingkungan akademik</w:t>
      </w:r>
    </w:p>
    <w:p>
      <w:pPr>
        <w:pStyle w:val="ListParagraph"/>
        <w:numPr>
          <w:ilvl w:val="0"/>
          <w:numId w:val="1"/>
        </w:numPr>
        <w:spacing w:after="100"/>
      </w:pPr>
      <w:r>
        <w:rPr>
          <w:rFonts w:ascii="Times New Roman" w:cs="Times New Roman" w:eastAsia="Times New Roman" w:hAnsi="Times New Roman"/>
          <w:sz w:val="24"/>
          <w:szCs w:val="24"/>
        </w:rPr>
        <w:t xml:space="preserve">LS = lingkungan sosial</w:t>
      </w:r>
    </w:p>
    <w:p>
      <w:pPr>
        <w:pStyle w:val="ListParagraph"/>
        <w:numPr>
          <w:ilvl w:val="0"/>
          <w:numId w:val="1"/>
        </w:numPr>
        <w:spacing w:after="100"/>
      </w:pPr>
      <w:r>
        <w:rPr>
          <w:rFonts w:ascii="Times New Roman" w:cs="Times New Roman" w:eastAsia="Times New Roman" w:hAnsi="Times New Roman"/>
          <w:sz w:val="24"/>
          <w:szCs w:val="24"/>
        </w:rPr>
        <w:t xml:space="preserve">LR = lingkungan religius</w:t>
      </w:r>
    </w:p>
    <w:p>
      <w:pPr>
        <w:pStyle w:val="ListParagraph"/>
        <w:numPr>
          <w:ilvl w:val="0"/>
          <w:numId w:val="1"/>
        </w:numPr>
        <w:spacing w:after="100"/>
      </w:pPr>
      <w:r>
        <w:rPr>
          <w:rFonts w:ascii="Times New Roman" w:cs="Times New Roman" w:eastAsia="Times New Roman" w:hAnsi="Times New Roman"/>
          <w:sz w:val="24"/>
          <w:szCs w:val="24"/>
        </w:rPr>
        <w:t xml:space="preserve">MB = minat belajar</w:t>
      </w:r>
    </w:p>
    <w:p>
      <w:pPr>
        <w:pStyle w:val="ListParagraph"/>
        <w:numPr>
          <w:ilvl w:val="0"/>
          <w:numId w:val="1"/>
        </w:numPr>
        <w:spacing w:after="100"/>
      </w:pPr>
      <w:r>
        <w:rPr>
          <w:rFonts w:ascii="Times New Roman" w:cs="Times New Roman" w:eastAsia="Times New Roman" w:hAnsi="Times New Roman"/>
          <w:sz w:val="24"/>
          <w:szCs w:val="24"/>
        </w:rPr>
        <w:t xml:space="preserve">MQ = maharah qira'ah</w:t>
      </w:r>
    </w:p>
    <w:p>
      <w:pPr>
        <w:pStyle w:val="ListParagraph"/>
        <w:numPr>
          <w:ilvl w:val="0"/>
          <w:numId w:val="1"/>
        </w:numPr>
        <w:spacing w:after="100"/>
      </w:pPr>
      <w:r>
        <w:rPr>
          <w:rFonts w:ascii="Times New Roman" w:cs="Times New Roman" w:eastAsia="Times New Roman" w:hAnsi="Times New Roman"/>
          <w:sz w:val="24"/>
          <w:szCs w:val="24"/>
        </w:rPr>
        <w:t xml:space="preserve">FP = faktor pendukung</w:t>
      </w:r>
    </w:p>
    <w:p>
      <w:pPr>
        <w:pStyle w:val="ListParagraph"/>
        <w:numPr>
          <w:ilvl w:val="0"/>
          <w:numId w:val="1"/>
        </w:numPr>
        <w:spacing w:after="100"/>
      </w:pPr>
      <w:r>
        <w:rPr>
          <w:rFonts w:ascii="Times New Roman" w:cs="Times New Roman" w:eastAsia="Times New Roman" w:hAnsi="Times New Roman"/>
          <w:sz w:val="24"/>
          <w:szCs w:val="24"/>
        </w:rPr>
        <w:t xml:space="preserve">FH = faktor penghambat</w:t>
      </w:r>
    </w:p>
    <w:p>
      <w:pPr>
        <w:spacing w:after="200" w:line="360"/>
        <w:ind w:firstLine="567"/>
        <w:jc w:val="both"/>
      </w:pPr>
      <w:r>
        <w:rPr>
          <w:rFonts w:ascii="Times New Roman" w:cs="Times New Roman" w:eastAsia="Times New Roman" w:hAnsi="Times New Roman"/>
          <w:i w:val="false"/>
          <w:iCs w:val="false"/>
          <w:sz w:val="24"/>
          <w:szCs w:val="24"/>
        </w:rPr>
        <w:t xml:space="preserve">Kode tersebut digunakan untuk membantu pengorganisasian dan penelusuran data, bukan untuk mengubah penelitian menjadi analisis statistik.</w:t>
      </w:r>
    </w:p>
    <w:p>
      <w:pPr>
        <w:spacing w:after="200" w:line="360"/>
        <w:ind w:firstLine="567"/>
        <w:jc w:val="both"/>
      </w:pPr>
      <w:r>
        <w:rPr>
          <w:rFonts w:ascii="Times New Roman" w:cs="Times New Roman" w:eastAsia="Times New Roman" w:hAnsi="Times New Roman"/>
          <w:b w:val="false"/>
          <w:bCs w:val="false"/>
          <w:i w:val="false"/>
          <w:iCs w:val="false"/>
          <w:sz w:val="24"/>
          <w:szCs w:val="24"/>
        </w:rPr>
        <w:t xml:space="preserve">Proses pengodean dilakukan melalui pemberian kode awal pada unit data, pengelompokan kode ke dalam kategori, serta penghubungan antarkategori untuk membantu pembacaan pola penelitian. Dalam dokumen kerja internal terdapat penggunaan istilah </w:t>
      </w:r>
      <w:r>
        <w:rPr>
          <w:rFonts w:ascii="Times New Roman" w:cs="Times New Roman" w:eastAsia="Times New Roman" w:hAnsi="Times New Roman"/>
          <w:b w:val="false"/>
          <w:bCs w:val="false"/>
          <w:i/>
          <w:iCs/>
          <w:sz w:val="24"/>
          <w:szCs w:val="24"/>
        </w:rPr>
        <w:t xml:space="preserve">open coding, axial coding,</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selective coding.</w:t>
      </w:r>
      <w:r>
        <w:rPr>
          <w:rFonts w:ascii="Times New Roman" w:cs="Times New Roman" w:eastAsia="Times New Roman" w:hAnsi="Times New Roman"/>
          <w:b w:val="false"/>
          <w:bCs w:val="false"/>
          <w:i w:val="false"/>
          <w:iCs w:val="false"/>
          <w:sz w:val="24"/>
          <w:szCs w:val="24"/>
        </w:rPr>
        <w:t xml:space="preserve"> Terminologi tersebut digunakan secara adaptif sebagai perangkat praktis untuk mengorganisasi dan menghubungkan kategori data, bukan sebagai penerapan penuh prosedur grounded theory dan tidak mengubah desain penelitian menjadi grounded theory.</w:t>
      </w:r>
    </w:p>
    <w:p>
      <w:pPr>
        <w:pStyle w:val="Heading2"/>
        <w:spacing w:after="150" w:before="300"/>
      </w:pPr>
      <w:r>
        <w:rPr>
          <w:rFonts w:ascii="Times New Roman" w:cs="Times New Roman" w:eastAsia="Times New Roman" w:hAnsi="Times New Roman"/>
          <w:b/>
          <w:bCs/>
          <w:sz w:val="24"/>
          <w:szCs w:val="24"/>
        </w:rPr>
        <w:t xml:space="preserve">2. Penyajian Data</w:t>
      </w:r>
    </w:p>
    <w:p>
      <w:pPr>
        <w:spacing w:after="200" w:line="360"/>
        <w:ind w:firstLine="567"/>
        <w:jc w:val="both"/>
      </w:pPr>
      <w:r>
        <w:rPr>
          <w:rFonts w:ascii="Times New Roman" w:cs="Times New Roman" w:eastAsia="Times New Roman" w:hAnsi="Times New Roman"/>
          <w:i w:val="false"/>
          <w:iCs w:val="false"/>
          <w:sz w:val="24"/>
          <w:szCs w:val="24"/>
        </w:rPr>
        <w:t xml:space="preserve">Data yang telah dikondensasi disajikan dalam bentuk narasi analitis, matriks, tabel, pengelompokan kategori, hubungan antarkategori, dan perbandingan sumber. Penyajian data digunakan untuk memudahkan peneliti melihat pola pada masing-masing situs serta mempersiapkan pembandingan lintas situs.</w:t>
      </w:r>
    </w:p>
    <w:p>
      <w:pPr>
        <w:pStyle w:val="Heading2"/>
        <w:spacing w:after="150" w:before="300"/>
      </w:pPr>
      <w:r>
        <w:rPr>
          <w:rFonts w:ascii="Times New Roman" w:cs="Times New Roman" w:eastAsia="Times New Roman" w:hAnsi="Times New Roman"/>
          <w:b/>
          <w:bCs/>
          <w:sz w:val="24"/>
          <w:szCs w:val="24"/>
        </w:rPr>
        <w:t xml:space="preserve">3. Penarikan Kesimpulan dan Verifikasi</w:t>
      </w:r>
    </w:p>
    <w:p>
      <w:pPr>
        <w:spacing w:after="200" w:line="360"/>
        <w:ind w:firstLine="567"/>
        <w:jc w:val="both"/>
      </w:pPr>
      <w:r>
        <w:rPr>
          <w:rFonts w:ascii="Times New Roman" w:cs="Times New Roman" w:eastAsia="Times New Roman" w:hAnsi="Times New Roman"/>
          <w:i w:val="false"/>
          <w:iCs w:val="false"/>
          <w:sz w:val="24"/>
          <w:szCs w:val="24"/>
        </w:rPr>
        <w:t xml:space="preserve">Kesimpulan dibangun secara bertahap berdasarkan pola yang muncul dari data. Kesimpulan sementara diperiksa kembali terhadap catatan wawancara, observasi, dokumentasi, sumber informan lain, dan matriks analisis agar interpretasi yang dihasilkan tetap memiliki dasar data.</w:t>
      </w:r>
    </w:p>
    <w:p>
      <w:pPr>
        <w:pStyle w:val="Heading2"/>
        <w:spacing w:after="150" w:before="300"/>
      </w:pPr>
      <w:r>
        <w:rPr>
          <w:rFonts w:ascii="Times New Roman" w:cs="Times New Roman" w:eastAsia="Times New Roman" w:hAnsi="Times New Roman"/>
          <w:b/>
          <w:bCs/>
          <w:sz w:val="24"/>
          <w:szCs w:val="24"/>
        </w:rPr>
        <w:t xml:space="preserve">4. Analisis Dalam Situs (Within-Site Analysis)</w:t>
      </w:r>
    </w:p>
    <w:p>
      <w:pPr>
        <w:spacing w:after="200" w:line="360"/>
        <w:ind w:firstLine="567"/>
        <w:jc w:val="both"/>
      </w:pPr>
      <w:r>
        <w:rPr>
          <w:rFonts w:ascii="Times New Roman" w:cs="Times New Roman" w:eastAsia="Times New Roman" w:hAnsi="Times New Roman"/>
          <w:i w:val="false"/>
          <w:iCs w:val="false"/>
          <w:sz w:val="24"/>
          <w:szCs w:val="24"/>
        </w:rPr>
        <w:t xml:space="preserve">Analisis terlebih dahulu dilakukan secara terpisah pada masing-masing situs.</w:t>
      </w:r>
    </w:p>
    <w:p>
      <w:pPr>
        <w:spacing w:after="200" w:line="360"/>
        <w:ind w:firstLine="567"/>
        <w:jc w:val="both"/>
      </w:pPr>
      <w:r>
        <w:rPr>
          <w:rFonts w:ascii="Times New Roman" w:cs="Times New Roman" w:eastAsia="Times New Roman" w:hAnsi="Times New Roman"/>
          <w:i w:val="false"/>
          <w:iCs w:val="false"/>
          <w:sz w:val="24"/>
          <w:szCs w:val="24"/>
        </w:rPr>
        <w:t xml:space="preserve">Pada Situs 1, seluruh data Pondok Pesantren An-Najiyah II dibaca sebagai satu kesatuan konteks untuk memahami strategi lingkungan pembelajaran, faktor pendukung dan penghambat, bentuk-bentuk minat yang didukung data, dan perkembangan maharah qira'ah.</w:t>
      </w:r>
    </w:p>
    <w:p>
      <w:pPr>
        <w:spacing w:after="200" w:line="360"/>
        <w:ind w:firstLine="567"/>
        <w:jc w:val="both"/>
      </w:pPr>
      <w:r>
        <w:rPr>
          <w:rFonts w:ascii="Times New Roman" w:cs="Times New Roman" w:eastAsia="Times New Roman" w:hAnsi="Times New Roman"/>
          <w:i w:val="false"/>
          <w:iCs w:val="false"/>
          <w:sz w:val="24"/>
          <w:szCs w:val="24"/>
        </w:rPr>
        <w:t xml:space="preserve">Proses yang sama dilakukan terhadap Situs 2 secara independen. Analisis Situs 2 tidak dibentuk dengan cara memaksakan pola Situs 1.</w:t>
      </w:r>
    </w:p>
    <w:p>
      <w:pPr>
        <w:pStyle w:val="Heading2"/>
        <w:spacing w:after="150" w:before="300"/>
      </w:pPr>
      <w:r>
        <w:rPr>
          <w:rFonts w:ascii="Times New Roman" w:cs="Times New Roman" w:eastAsia="Times New Roman" w:hAnsi="Times New Roman"/>
          <w:b/>
          <w:bCs/>
          <w:sz w:val="24"/>
          <w:szCs w:val="24"/>
        </w:rPr>
        <w:t xml:space="preserve">5. Analisis Lintas Situs (Cross-Site Analysis)</w:t>
      </w:r>
    </w:p>
    <w:p>
      <w:pPr>
        <w:spacing w:after="200" w:line="360"/>
        <w:ind w:firstLine="567"/>
        <w:jc w:val="both"/>
      </w:pPr>
      <w:r>
        <w:rPr>
          <w:rFonts w:ascii="Times New Roman" w:cs="Times New Roman" w:eastAsia="Times New Roman" w:hAnsi="Times New Roman"/>
          <w:i w:val="false"/>
          <w:iCs w:val="false"/>
          <w:sz w:val="24"/>
          <w:szCs w:val="24"/>
        </w:rPr>
        <w:t xml:space="preserve">Setelah analisis dalam situs selesai, temuan Situs 1 dan Situs 2 dibandingkan untuk mengidentifikasi persamaan, perbedaan, variasi strategi, faktor pendukung dan penghambat, serta pola yang berkaitan dengan minat dan perkembangan maharah qira'ah.</w:t>
      </w:r>
    </w:p>
    <w:p>
      <w:pPr>
        <w:spacing w:after="200" w:line="360"/>
        <w:ind w:firstLine="567"/>
        <w:jc w:val="both"/>
      </w:pPr>
      <w:r>
        <w:rPr>
          <w:rFonts w:ascii="Times New Roman" w:cs="Times New Roman" w:eastAsia="Times New Roman" w:hAnsi="Times New Roman"/>
          <w:i w:val="false"/>
          <w:iCs w:val="false"/>
          <w:sz w:val="24"/>
          <w:szCs w:val="24"/>
        </w:rPr>
        <w:t xml:space="preserve">Analisis lintas situs tidak digunakan untuk menentukan situs yang lebih baik, tetapi untuk memahami bagaimana fokus pembelajaran yang searah dapat dijalankan melalui mekanisme kelembagaan yang berbeda (Vohra, 2024).</w:t>
      </w:r>
    </w:p>
    <w:p>
      <w:pPr>
        <w:pStyle w:val="Heading1"/>
        <w:spacing w:after="200" w:before="400"/>
      </w:pPr>
      <w:r>
        <w:rPr>
          <w:rFonts w:ascii="Times New Roman" w:cs="Times New Roman" w:eastAsia="Times New Roman" w:hAnsi="Times New Roman"/>
          <w:b/>
          <w:bCs/>
          <w:sz w:val="28"/>
          <w:szCs w:val="28"/>
        </w:rPr>
        <w:t xml:space="preserve">H. Pengecekan Keabsahan Data</w:t>
      </w:r>
    </w:p>
    <w:p>
      <w:pPr>
        <w:spacing w:after="200" w:line="360"/>
        <w:ind w:firstLine="567"/>
        <w:jc w:val="both"/>
      </w:pPr>
      <w:r>
        <w:rPr>
          <w:rFonts w:ascii="Times New Roman" w:cs="Times New Roman" w:eastAsia="Times New Roman" w:hAnsi="Times New Roman"/>
          <w:i w:val="false"/>
          <w:iCs w:val="false"/>
          <w:sz w:val="24"/>
          <w:szCs w:val="24"/>
        </w:rPr>
        <w:t xml:space="preserve">Keabsahan data dibangun dengan memperhatikan prinsip trustworthiness dalam penelitian kualitatif. Literatur mengenai trustworthiness mencakup credibility, transferability, dependability, dan confirmability (Ahmed, 2024). Dalam penelitian ini, pengecekan keabsahan dioperasionalkan melalui strategi yang benar-benar terdokumentasi dalam pelaksanaan penelitian, yaitu triangulasi sumber, triangulasi teknik, pemeriksaan data secara berulang, pemeriksaan antar-sumber dan bukti dokumenter, serta pemeliharaan audit trail.</w:t>
      </w:r>
    </w:p>
    <w:p>
      <w:pPr>
        <w:pStyle w:val="Heading2"/>
        <w:spacing w:after="150" w:before="300"/>
      </w:pPr>
      <w:r>
        <w:rPr>
          <w:rFonts w:ascii="Times New Roman" w:cs="Times New Roman" w:eastAsia="Times New Roman" w:hAnsi="Times New Roman"/>
          <w:b/>
          <w:bCs/>
          <w:sz w:val="24"/>
          <w:szCs w:val="24"/>
        </w:rPr>
        <w:t xml:space="preserve">1. Triangulasi Sumber</w:t>
      </w:r>
    </w:p>
    <w:p>
      <w:pPr>
        <w:spacing w:after="200" w:line="360"/>
        <w:ind w:firstLine="567"/>
        <w:jc w:val="both"/>
      </w:pPr>
      <w:r>
        <w:rPr>
          <w:rFonts w:ascii="Times New Roman" w:cs="Times New Roman" w:eastAsia="Times New Roman" w:hAnsi="Times New Roman"/>
          <w:i w:val="false"/>
          <w:iCs w:val="false"/>
          <w:sz w:val="24"/>
          <w:szCs w:val="24"/>
        </w:rPr>
        <w:t xml:space="preserve">Triangulasi sumber dilakukan dengan membandingkan informasi yang diperoleh dari informan yang memiliki posisi berbeda, antara lain pengasuh, ustaz, pengurus, santri senior, santri junior, dan alumni pada Situs 2 apabila relevan. Tujuannya bukan untuk memaksa semua informan memberikan jawaban yang sama, tetapi untuk memeriksa konsistensi, perbedaan perspektif, dan kekuatan dukungan antarsumber.</w:t>
      </w:r>
    </w:p>
    <w:p>
      <w:pPr>
        <w:pStyle w:val="Heading2"/>
        <w:spacing w:after="150" w:before="300"/>
      </w:pPr>
      <w:r>
        <w:rPr>
          <w:rFonts w:ascii="Times New Roman" w:cs="Times New Roman" w:eastAsia="Times New Roman" w:hAnsi="Times New Roman"/>
          <w:b/>
          <w:bCs/>
          <w:sz w:val="24"/>
          <w:szCs w:val="24"/>
        </w:rPr>
        <w:t xml:space="preserve">2. Triangulasi Teknik</w:t>
      </w:r>
    </w:p>
    <w:p>
      <w:pPr>
        <w:spacing w:after="200" w:line="360"/>
        <w:ind w:firstLine="567"/>
        <w:jc w:val="both"/>
      </w:pPr>
      <w:r>
        <w:rPr>
          <w:rFonts w:ascii="Times New Roman" w:cs="Times New Roman" w:eastAsia="Times New Roman" w:hAnsi="Times New Roman"/>
          <w:i w:val="false"/>
          <w:iCs w:val="false"/>
          <w:sz w:val="24"/>
          <w:szCs w:val="24"/>
        </w:rPr>
        <w:t xml:space="preserve">Triangulasi teknik dilakukan dengan membandingkan data yang diperoleh melalui wawancara, observasi, dan dokumentasi. Informasi dari satu teknik diperiksa terhadap informasi yang diperoleh melalui teknik lain ketika data tersedia.</w:t>
      </w:r>
    </w:p>
    <w:p>
      <w:pPr>
        <w:pStyle w:val="Heading2"/>
        <w:spacing w:after="150" w:before="300"/>
      </w:pPr>
      <w:r>
        <w:rPr>
          <w:rFonts w:ascii="Times New Roman" w:cs="Times New Roman" w:eastAsia="Times New Roman" w:hAnsi="Times New Roman"/>
          <w:b/>
          <w:bCs/>
          <w:sz w:val="24"/>
          <w:szCs w:val="24"/>
        </w:rPr>
        <w:t xml:space="preserve">3. Pengamatan dan Pemeriksaan Berulang</w:t>
      </w:r>
    </w:p>
    <w:p>
      <w:pPr>
        <w:spacing w:after="200" w:line="360"/>
        <w:ind w:firstLine="567"/>
        <w:jc w:val="both"/>
      </w:pPr>
      <w:r>
        <w:rPr>
          <w:rFonts w:ascii="Times New Roman" w:cs="Times New Roman" w:eastAsia="Times New Roman" w:hAnsi="Times New Roman"/>
          <w:i w:val="false"/>
          <w:iCs w:val="false"/>
          <w:sz w:val="24"/>
          <w:szCs w:val="24"/>
        </w:rPr>
        <w:t xml:space="preserve">Peneliti melakukan pengamatan dan pemeriksaan data secara berulang untuk memperoleh pemahaman yang lebih utuh mengenai pola pada masing-masing situs. Pengecekan dilakukan terhadap catatan lapangan, catatan wawancara, data observasi, matriks, dan data pendukung lain selama proses pengorganisasian dan analisis.</w:t>
      </w:r>
    </w:p>
    <w:p>
      <w:pPr>
        <w:pStyle w:val="Heading2"/>
        <w:spacing w:after="150" w:before="300"/>
      </w:pPr>
      <w:r>
        <w:rPr>
          <w:rFonts w:ascii="Times New Roman" w:cs="Times New Roman" w:eastAsia="Times New Roman" w:hAnsi="Times New Roman"/>
          <w:b/>
          <w:bCs/>
          <w:sz w:val="24"/>
          <w:szCs w:val="24"/>
        </w:rPr>
        <w:t xml:space="preserve">4. Pemeriksaan Antar-Sumber dan Bukti Dokumenter</w:t>
      </w:r>
    </w:p>
    <w:p>
      <w:pPr>
        <w:spacing w:after="200" w:line="360"/>
        <w:ind w:firstLine="567"/>
        <w:jc w:val="both"/>
      </w:pPr>
      <w:r>
        <w:rPr>
          <w:rFonts w:ascii="Times New Roman" w:cs="Times New Roman" w:eastAsia="Times New Roman" w:hAnsi="Times New Roman"/>
          <w:i w:val="false"/>
          <w:iCs w:val="false"/>
          <w:sz w:val="24"/>
          <w:szCs w:val="24"/>
        </w:rPr>
        <w:t xml:space="preserve">Interpretasi hasil wawancara dibandingkan dengan keterangan informan lain, hasil observasi, catatan lapangan, dan dokumentasi yang relevan. Pemeriksaan ini digunakan untuk memastikan bahwa interpretasi tidak hanya bertumpu pada satu sumber informasi.</w:t>
      </w:r>
    </w:p>
    <w:p>
      <w:pPr>
        <w:pStyle w:val="Heading2"/>
        <w:spacing w:after="150" w:before="300"/>
      </w:pPr>
      <w:r>
        <w:rPr>
          <w:rFonts w:ascii="Times New Roman" w:cs="Times New Roman" w:eastAsia="Times New Roman" w:hAnsi="Times New Roman"/>
          <w:b/>
          <w:bCs/>
          <w:sz w:val="24"/>
          <w:szCs w:val="24"/>
        </w:rPr>
        <w:t xml:space="preserve">5. Audit Trail</w:t>
      </w:r>
    </w:p>
    <w:p>
      <w:pPr>
        <w:spacing w:after="200" w:line="360"/>
        <w:ind w:firstLine="567"/>
        <w:jc w:val="both"/>
      </w:pPr>
      <w:r>
        <w:rPr>
          <w:rFonts w:ascii="Times New Roman" w:cs="Times New Roman" w:eastAsia="Times New Roman" w:hAnsi="Times New Roman"/>
          <w:i w:val="false"/>
          <w:iCs w:val="false"/>
          <w:sz w:val="24"/>
          <w:szCs w:val="24"/>
        </w:rPr>
        <w:t xml:space="preserve">Jejak proses penelitian dipertahankan melalui pedoman wawancara, catatan wawancara, instrumen dan catatan observasi, dokumentasi, kode data, matriks kondensasi dan penyajian data, serta catatan analisis within-site dan cross-site. Audit trail dimaksudkan sebagai dokumentasi proses penelitian yang dapat ditelusuri kembali, bukan audit yang dilakukan oleh auditor independen eksternal (Bingham, 2023).</w:t>
      </w:r>
    </w:p>
    <w:p>
      <w:pPr>
        <w:spacing w:after="100" w:before="200"/>
        <w:jc w:val="center"/>
      </w:pPr>
      <w:r>
        <w:rPr>
          <w:rFonts w:ascii="Times New Roman" w:cs="Times New Roman" w:eastAsia="Times New Roman" w:hAnsi="Times New Roman"/>
          <w:b/>
          <w:bCs/>
          <w:sz w:val="24"/>
          <w:szCs w:val="24"/>
        </w:rPr>
        <w:t xml:space="preserve">Tabel 3.2 Pengecekan Keabsahan Data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290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Teknik</w:t>
            </w:r>
          </w:p>
        </w:tc>
        <w:tc>
          <w:tcPr>
            <w:tcW w:type="dxa" w:w="33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Pelaksanaan</w:t>
            </w:r>
          </w:p>
        </w:tc>
        <w:tc>
          <w:tcPr>
            <w:tcW w:type="dxa" w:w="2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Fungsi</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Triangulasi sumber</w:t>
            </w:r>
          </w:p>
        </w:tc>
        <w:tc>
          <w:tcPr>
            <w:tcW w:type="dxa" w:w="3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Membandingkan informasi antarinforman sesuai relevansi</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Memeriksa konsistensi dan variasi perspektif</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Triangulasi teknik</w:t>
            </w:r>
          </w:p>
        </w:tc>
        <w:tc>
          <w:tcPr>
            <w:tcW w:type="dxa" w:w="3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Membandingkan wawancara, observasi, dan dokumentasi</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Memeriksa dukungan data antarteknik</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Pengamatan/pemeriksaan berulang</w:t>
            </w:r>
          </w:p>
        </w:tc>
        <w:tc>
          <w:tcPr>
            <w:tcW w:type="dxa" w:w="3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Membaca dan memeriksa kembali data serta catatan lapangan</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Memperkuat pemahaman terhadap pola</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Pemeriksaan antar-sumber/dokumenter</w:t>
            </w:r>
          </w:p>
        </w:tc>
        <w:tc>
          <w:tcPr>
            <w:tcW w:type="dxa" w:w="3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Membandingkan wawancara dengan sumber dan bukti lain</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Menjaga interpretasi tetap berbasis data</w:t>
            </w:r>
          </w:p>
        </w:tc>
      </w:tr>
      <w:tr>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Audit trail</w:t>
            </w:r>
          </w:p>
        </w:tc>
        <w:tc>
          <w:tcPr>
            <w:tcW w:type="dxa" w:w="3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Menyimpan catatan, kode, matriks, dokumen, dan proses analisis</w:t>
            </w:r>
          </w:p>
        </w:tc>
        <w:tc>
          <w:tcPr>
            <w:tcW w:type="dxa" w:w="2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Menjaga keterlacakan proses penelitian</w:t>
            </w:r>
          </w:p>
        </w:tc>
      </w:tr>
    </w:tbl>
    <w:p>
      <w:pPr>
        <w:spacing w:before="200"/>
      </w:pPr>
    </w:p>
    <w:p>
      <w:pPr>
        <w:pStyle w:val="Heading1"/>
        <w:spacing w:after="200" w:before="400"/>
      </w:pPr>
      <w:r>
        <w:rPr>
          <w:rFonts w:ascii="Times New Roman" w:cs="Times New Roman" w:eastAsia="Times New Roman" w:hAnsi="Times New Roman"/>
          <w:b/>
          <w:bCs/>
          <w:sz w:val="28"/>
          <w:szCs w:val="28"/>
        </w:rPr>
        <w:t xml:space="preserve">I. Tahap-Tahap Penelitian</w:t>
      </w:r>
    </w:p>
    <w:p>
      <w:pPr>
        <w:pStyle w:val="Heading2"/>
        <w:spacing w:after="150" w:before="300"/>
      </w:pPr>
      <w:r>
        <w:rPr>
          <w:rFonts w:ascii="Times New Roman" w:cs="Times New Roman" w:eastAsia="Times New Roman" w:hAnsi="Times New Roman"/>
          <w:b/>
          <w:bCs/>
          <w:sz w:val="24"/>
          <w:szCs w:val="24"/>
        </w:rPr>
        <w:t xml:space="preserve">1. Tahap Persiapan dan Pra-Lapangan</w:t>
      </w:r>
    </w:p>
    <w:p>
      <w:pPr>
        <w:spacing w:after="200" w:line="360"/>
        <w:ind w:firstLine="567"/>
        <w:jc w:val="both"/>
      </w:pPr>
      <w:r>
        <w:rPr>
          <w:rFonts w:ascii="Times New Roman" w:cs="Times New Roman" w:eastAsia="Times New Roman" w:hAnsi="Times New Roman"/>
          <w:i w:val="false"/>
          <w:iCs w:val="false"/>
          <w:sz w:val="24"/>
          <w:szCs w:val="24"/>
        </w:rPr>
        <w:t xml:space="preserve">Pada tahap ini peneliti mematangkan fokus penelitian, menyiapkan instrumen observasi, wawancara, dan dokumentasi, memetakan kebutuhan data, serta melakukan koordinasi dengan pihak pesantren yang menjadi lokasi penelitian.</w:t>
      </w:r>
    </w:p>
    <w:p>
      <w:pPr>
        <w:pStyle w:val="Heading2"/>
        <w:spacing w:after="150" w:before="300"/>
      </w:pPr>
      <w:r>
        <w:rPr>
          <w:rFonts w:ascii="Times New Roman" w:cs="Times New Roman" w:eastAsia="Times New Roman" w:hAnsi="Times New Roman"/>
          <w:b/>
          <w:bCs/>
          <w:sz w:val="24"/>
          <w:szCs w:val="24"/>
        </w:rPr>
        <w:t xml:space="preserve">2. Tahap Pelaksanaan Lapangan</w:t>
      </w:r>
    </w:p>
    <w:p>
      <w:pPr>
        <w:spacing w:after="200" w:line="360"/>
        <w:ind w:firstLine="567"/>
        <w:jc w:val="both"/>
      </w:pPr>
      <w:r>
        <w:rPr>
          <w:rFonts w:ascii="Times New Roman" w:cs="Times New Roman" w:eastAsia="Times New Roman" w:hAnsi="Times New Roman"/>
          <w:i w:val="false"/>
          <w:iCs w:val="false"/>
          <w:sz w:val="24"/>
          <w:szCs w:val="24"/>
        </w:rPr>
        <w:t xml:space="preserve">Pada tahap pelaksanaan lapangan, peneliti melakukan observasi langsung, wawancara mendalam semi-terstruktur, dan pengumpulan dokumentasi yang relevan pada kedua situs. Data lapangan dicatat dan diorganisasi berdasarkan fokus penelitian.</w:t>
      </w:r>
    </w:p>
    <w:p>
      <w:pPr>
        <w:pStyle w:val="Heading2"/>
        <w:spacing w:after="150" w:before="300"/>
      </w:pPr>
      <w:r>
        <w:rPr>
          <w:rFonts w:ascii="Times New Roman" w:cs="Times New Roman" w:eastAsia="Times New Roman" w:hAnsi="Times New Roman"/>
          <w:b/>
          <w:bCs/>
          <w:sz w:val="24"/>
          <w:szCs w:val="24"/>
        </w:rPr>
        <w:t xml:space="preserve">3. Tahap Pengorganisasian dan Analisis Data</w:t>
      </w:r>
    </w:p>
    <w:p>
      <w:pPr>
        <w:spacing w:after="200" w:line="360"/>
        <w:ind w:firstLine="567"/>
        <w:jc w:val="both"/>
      </w:pPr>
      <w:r>
        <w:rPr>
          <w:rFonts w:ascii="Times New Roman" w:cs="Times New Roman" w:eastAsia="Times New Roman" w:hAnsi="Times New Roman"/>
          <w:i w:val="false"/>
          <w:iCs w:val="false"/>
          <w:sz w:val="24"/>
          <w:szCs w:val="24"/>
        </w:rPr>
        <w:t xml:space="preserve">Setelah dan selama pengumpulan data, peneliti mengorganisasi catatan wawancara, observasi, catatan lapangan, dan dokumentasi. Data kemudian dikondensasi, diberi kode, disajikan dalam matriks dan narasi, serta dianalisis terlebih dahulu pada masing-masing situs. Setelah analisis within-site selesai, dilakukan analisis cross-site untuk mengidentifikasi persamaan, perbedaan, dan variasi mekanisme kelembagaan.</w:t>
      </w:r>
    </w:p>
    <w:p>
      <w:pPr>
        <w:pStyle w:val="Heading2"/>
        <w:spacing w:after="150" w:before="300"/>
      </w:pPr>
      <w:r>
        <w:rPr>
          <w:rFonts w:ascii="Times New Roman" w:cs="Times New Roman" w:eastAsia="Times New Roman" w:hAnsi="Times New Roman"/>
          <w:b/>
          <w:bCs/>
          <w:sz w:val="24"/>
          <w:szCs w:val="24"/>
        </w:rPr>
        <w:t xml:space="preserve">4. Tahap Pengecekan Keabsahan</w:t>
      </w:r>
    </w:p>
    <w:p>
      <w:pPr>
        <w:spacing w:after="200" w:line="360"/>
        <w:ind w:firstLine="567"/>
        <w:jc w:val="both"/>
      </w:pPr>
      <w:r>
        <w:rPr>
          <w:rFonts w:ascii="Times New Roman" w:cs="Times New Roman" w:eastAsia="Times New Roman" w:hAnsi="Times New Roman"/>
          <w:i w:val="false"/>
          <w:iCs w:val="false"/>
          <w:sz w:val="24"/>
          <w:szCs w:val="24"/>
        </w:rPr>
        <w:t xml:space="preserve">Pengecekan dilakukan melalui triangulasi sumber, triangulasi teknik, pemeriksaan data secara berulang, pemeriksaan antar-sumber dan bukti dokumenter, serta pemeliharaan audit trail.</w:t>
      </w:r>
    </w:p>
    <w:p>
      <w:pPr>
        <w:pStyle w:val="Heading2"/>
        <w:spacing w:after="150" w:before="300"/>
      </w:pPr>
      <w:r>
        <w:rPr>
          <w:rFonts w:ascii="Times New Roman" w:cs="Times New Roman" w:eastAsia="Times New Roman" w:hAnsi="Times New Roman"/>
          <w:b/>
          <w:bCs/>
          <w:sz w:val="24"/>
          <w:szCs w:val="24"/>
        </w:rPr>
        <w:t xml:space="preserve">5. Tahap Penyusunan Laporan</w:t>
      </w:r>
    </w:p>
    <w:p>
      <w:pPr>
        <w:spacing w:after="200" w:line="360"/>
        <w:ind w:firstLine="567"/>
        <w:jc w:val="both"/>
      </w:pPr>
      <w:r>
        <w:rPr>
          <w:rFonts w:ascii="Times New Roman" w:cs="Times New Roman" w:eastAsia="Times New Roman" w:hAnsi="Times New Roman"/>
          <w:i w:val="false"/>
          <w:iCs w:val="false"/>
          <w:sz w:val="24"/>
          <w:szCs w:val="24"/>
        </w:rPr>
        <w:t xml:space="preserve">Tahap terakhir berupa penyusunan hasil penelitian ke dalam naskah tesis. Data yang telah dianalisis disusun menjadi paparan data, temuan dalam situs, temuan lintas situs, pembahasan, kesimpulan, implikasi, dan saran.</w:t>
      </w:r>
    </w:p>
    <w:p>
      <w:pPr>
        <w:pStyle w:val="Heading1"/>
        <w:pageBreakBefore/>
        <w:spacing w:after="200" w:before="0"/>
      </w:pPr>
      <w:r>
        <w:rPr>
          <w:rFonts w:ascii="Times New Roman" w:cs="Times New Roman" w:eastAsia="Times New Roman" w:hAnsi="Times New Roman"/>
          <w:b/>
          <w:bCs/>
          <w:sz w:val="28"/>
          <w:szCs w:val="28"/>
        </w:rPr>
        <w:t xml:space="preserve">DAFTAR REFERENSI BAB III (KODE SITASI)</w:t>
      </w:r>
    </w:p>
    <w:p>
      <w:pPr>
        <w:spacing w:after="200" w:line="360"/>
        <w:jc w:val="both"/>
      </w:pPr>
      <w:r>
        <w:rPr>
          <w:rFonts w:ascii="Times New Roman" w:cs="Times New Roman" w:eastAsia="Times New Roman" w:hAnsi="Times New Roman"/>
          <w:i w:val="false"/>
          <w:iCs w:val="false"/>
          <w:sz w:val="24"/>
          <w:szCs w:val="24"/>
        </w:rPr>
        <w:t xml:space="preserve">Tabel berikut memuat kode referensi (Citation Pack Metodologi M-01–M-08) untuk setiap sumber yang disitasi dalam BAB III, sebagaimana dikonfirmasi dalam AUDIT SITASI TEKS BAB III = LOCKED.</w:t>
      </w:r>
    </w:p>
    <w:p>
      <w:pPr>
        <w:spacing w:before="2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300"/>
      </w:tblGrid>
      <w:tr>
        <w:trPr>
          <w:tblHeader/>
        </w:trPr>
        <w:tc>
          <w:tcPr>
            <w:tcW w:type="dxa" w:w="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Kode</w:t>
            </w:r>
          </w:p>
        </w:tc>
        <w:tc>
          <w:tcPr>
            <w:tcW w:type="dxa" w:w="26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Sitasi dalam Teks</w:t>
            </w:r>
          </w:p>
        </w:tc>
        <w:tc>
          <w:tcPr>
            <w:tcW w:type="dxa" w:w="53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Referensi Lengkap</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M-01</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Creswell &amp; Poth (2024)</w:t>
            </w:r>
          </w:p>
        </w:tc>
        <w:tc>
          <w:tcPr>
            <w:tcW w:type="dxa" w:w="5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Qualitative Inquiry and Research Design: Choosing Among Five Approaches, 5th ed. SAGE Publications.</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M-02</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Vohra (2024)</w:t>
            </w:r>
          </w:p>
        </w:tc>
        <w:tc>
          <w:tcPr>
            <w:tcW w:type="dxa" w:w="5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"Multiple Case Study Design." Dalam P. Rule &amp; V. M. John (Eds.), Handbook of Case Study Research in the Social Sciences, pp. 112–130. Edward Elgar Publishing.</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M-03</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Miles, Huberman, &amp; Saldaña (2020)</w:t>
            </w:r>
          </w:p>
        </w:tc>
        <w:tc>
          <w:tcPr>
            <w:tcW w:type="dxa" w:w="5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Qualitative Data Analysis: A Methods Sourcebook, 4th ed. SAGE Publications.</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M-04</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Ahmad &amp; Wilkins (2025)</w:t>
            </w:r>
          </w:p>
        </w:tc>
        <w:tc>
          <w:tcPr>
            <w:tcW w:type="dxa" w:w="5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Purposive sampling in qualitative research: A framework for the entire journey. Quality &amp; Quantity, 59, 1461–1479. DOI: 10.1007/s11135-024-02022-5.</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M-05</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Buys, Casteleijn, Heyns, &amp; Untiedt (2022)</w:t>
            </w:r>
          </w:p>
        </w:tc>
        <w:tc>
          <w:tcPr>
            <w:tcW w:type="dxa" w:w="5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A Reflexive Lens on Preparing and Conducting Semi-structured Interviews with Academic Colleagues. Qualitative Health Research, 32(13), 2030–2039. DOI: 10.1177/10497323221130832.</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M-06</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Yoon &amp; Uliassi (2022)</w:t>
            </w:r>
          </w:p>
        </w:tc>
        <w:tc>
          <w:tcPr>
            <w:tcW w:type="dxa" w:w="5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"Researcher-As-Instrument" in Qualitative Research: The Complexities of the Educational Researcher's Identities. The Qualitative Report, 27(4), 1088–1102. DOI: 10.46743/2160-3715/2022.5074.</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M-07</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Ahmed (2024)</w:t>
            </w:r>
          </w:p>
        </w:tc>
        <w:tc>
          <w:tcPr>
            <w:tcW w:type="dxa" w:w="5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The Pillars of Trustworthiness in Qualitative Research. Journal of Medicine, Surgery, and Public Health, 2, 100051. DOI: 10.1016/j.glmedi.2024.100051.</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M-08</w:t>
            </w:r>
          </w:p>
        </w:tc>
        <w:tc>
          <w:tcPr>
            <w:tcW w:type="dxa" w:w="26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Bingham (2023)</w:t>
            </w:r>
          </w:p>
        </w:tc>
        <w:tc>
          <w:tcPr>
            <w:tcW w:type="dxa" w:w="53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rFonts w:ascii="Times New Roman" w:cs="Times New Roman" w:eastAsia="Times New Roman" w:hAnsi="Times New Roman"/>
                <w:sz w:val="22"/>
                <w:szCs w:val="22"/>
              </w:rPr>
              <w:t xml:space="preserve">From Data Management to Actionable Findings: A Five-Phase Process of Qualitative Data Analysis. International Journal of Qualitative Methods, 22. DOI: 10.1177/16094069231183620.</w:t>
            </w:r>
          </w:p>
        </w:tc>
      </w:tr>
    </w:tbl>
    <w:p>
      <w:pPr>
        <w:spacing w:before="300"/>
      </w:pPr>
    </w:p>
    <w:p>
      <w:pPr>
        <w:spacing w:after="200" w:line="360"/>
        <w:jc w:val="both"/>
      </w:pPr>
      <w:r>
        <w:rPr>
          <w:rFonts w:ascii="Times New Roman" w:cs="Times New Roman" w:eastAsia="Times New Roman" w:hAnsi="Times New Roman"/>
          <w:i/>
          <w:iCs/>
          <w:sz w:val="24"/>
          <w:szCs w:val="24"/>
        </w:rPr>
        <w:t xml:space="preserve">Catatan: daftar ini merupakan daftar referensi tingkat bab (chapter-level) untuk keperluan pengecekan dan pencetakan BAB III. Daftar Pustaka final gabungan seluruh tesis akan disusun setelah rekonsiliasi Master Reference Register (BAB I–V) selesai.</w:t>
      </w:r>
    </w:p>
    <w:sectPr>
      <w:pgSz w:w="11906" w:h="16838" w:orient="portrait"/>
      <w:pgMar w:top="1701"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2026-09-05T18:17:05.439Z</dcterms:created>
  <dcterms:modified xsi:type="dcterms:W3CDTF">2026-09-05T18:17:05.451Z</dcterms:modified>
</cp:coreProperties>
</file>

<file path=docProps/custom.xml><?xml version="1.0" encoding="utf-8"?>
<Properties xmlns="http://schemas.openxmlformats.org/officeDocument/2006/custom-properties" xmlns:vt="http://schemas.openxmlformats.org/officeDocument/2006/docPropsVTypes"/>
</file>