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300"/>
        <w:jc w:val="center"/>
      </w:pPr>
      <w:r>
        <w:rPr>
          <w:b/>
          <w:bCs/>
          <w:sz w:val="28"/>
          <w:szCs w:val="28"/>
        </w:rPr>
        <w:t xml:space="preserve">BAB II</w:t>
      </w:r>
    </w:p>
    <w:p>
      <w:pPr>
        <w:pStyle w:val="Heading1"/>
        <w:spacing w:after="300" w:before="300"/>
        <w:jc w:val="center"/>
      </w:pPr>
      <w:r>
        <w:rPr>
          <w:b/>
          <w:bCs/>
          <w:sz w:val="28"/>
          <w:szCs w:val="28"/>
        </w:rPr>
        <w:t xml:space="preserve">KAJIAN TEORI</w:t>
      </w:r>
    </w:p>
    <w:p>
      <w:pPr>
        <w:pStyle w:val="Heading2"/>
        <w:spacing w:after="200" w:before="400"/>
      </w:pPr>
      <w:r>
        <w:rPr>
          <w:b/>
          <w:bCs/>
          <w:sz w:val="26"/>
          <w:szCs w:val="26"/>
        </w:rPr>
        <w:t xml:space="preserve">A. Penelitian Terdahulu</w:t>
      </w:r>
    </w:p>
    <w:p>
      <w:pPr>
        <w:pStyle w:val="Heading3"/>
        <w:spacing w:after="150" w:before="300"/>
      </w:pPr>
      <w:r>
        <w:rPr>
          <w:b/>
          <w:bCs/>
          <w:sz w:val="24"/>
          <w:szCs w:val="24"/>
        </w:rPr>
        <w:t xml:space="preserve">1. Uraian Penelitian Terdahulu</w:t>
      </w:r>
    </w:p>
    <w:p>
      <w:pPr>
        <w:spacing w:after="200" w:line="360"/>
        <w:jc w:val="both"/>
      </w:pPr>
      <w:r>
        <w:t xml:space="preserve">Penelitian yang dilakukan Amrullah dan Mutholingah (2025) merupakan studi kualitatif dengan pendekatan studi kasus di Pesantren Sidogiri yang menelaah desain, pelaksanaan, dan implikasi pembelajaran kitab klasik (turats). Data diperoleh melalui wawancara, focus group discussion, dokumentasi, dan observasi. Penelitian tersebut menunjukkan bahwa pembelajaran kitab turats di lokasi tersebut memiliki struktur kegiatan yang jelas namun tetap memberikan fleksibilitas pedagogis kepada pengajar, sehingga mencerminkan upaya mempertahankan tradisi turats sembari mengakomodasi prinsip pedagogis kontemporer (Amrullah &amp; Mutholingah, 2025). Penelitian tersebut kuat pada aspek desain dan implementasi pembelajaran turats pada satu situs, sedangkan penelitian ini menganalisis strategi lingkungan pembelajaran secara multidimensional serta keterkaitannya dengan minat belajar dan maharah qira'ah melalui dua situs pesantren.</w:t>
      </w:r>
    </w:p>
    <w:p>
      <w:pPr>
        <w:spacing w:after="200" w:line="360"/>
        <w:jc w:val="both"/>
      </w:pPr>
      <w:r>
        <w:t xml:space="preserve">Arif, Nasir, dan Ma'arif (2025) melakukan penelitian kualitatif studi kasus pada konteks pendidikan tinggi berbasis pesantren yang berfokus pada implementasi pembelajaran turats dan model pembelajaran kitab kuning dalam pengembangan expertise peserta didik. Penelitian tersebut menghasilkan model contextual literacy learning pada konteks penelitian yang bersangkutan dan memandang kitab kuning/turats sebagai bagian dari tradisi intelektual pendidikan pesantren (Arif, Nasir, &amp; Ma'arif, 2025). Fokus utama penelitian tersebut adalah model pembelajaran dan pengembangan expertise pada satu konteks pendidikan tinggi berbasis pesantren, berbeda dengan penelitian ini yang mengintegrasikan strategi lingkungan pembelajaran multidimensional, minat belajar kitab turats, dan maharah qira'ah dalam desain multisitus.</w:t>
      </w:r>
    </w:p>
    <w:p>
      <w:pPr>
        <w:spacing w:after="200" w:line="360"/>
        <w:jc w:val="both"/>
      </w:pPr>
      <w:r>
        <w:t xml:space="preserve">Syafei, Suleman, dan Rohanda (2024) meneliti pengembangan keterampilan membaca bahasa Arab untuk membaca kitab klasik pada konteks Islamic boarding schools/pesantren di Indonesia, dilaksanakan pada Pesantren Al-Jawami dan Al-Falah di Jawa Barat, melalui studi pengembangan model tiga tahap: studi pendahuluan, pengembangan model, dan validasi model. Penelitian tersebut menyoroti model pembelajaran bahasa Arab dan keterampilan membaca teks keagamaan klasik (Syafei, Suleman, &amp; Rohanda, 2024). Penelitian tersebut sangat relevan pada aspek qira'ah dan kitab klasik, tetapi tidak menempatkan strategi lingkungan fisik, akademik, sosial, dan religius, maupun minat belajar, sebagai fokus terpadu dalam studi multisitus.</w:t>
      </w:r>
    </w:p>
    <w:p>
      <w:pPr>
        <w:spacing w:after="200" w:line="360"/>
        <w:jc w:val="both"/>
      </w:pPr>
      <w:r>
        <w:t xml:space="preserve">Arif, Harun, dan Nor Abd Aziz (2023) menyusun systematic literature review yang menelaah perkembangan metode pembelajaran membaca kitab kuning pada rentang tahun 2000–2022, dengan mengidentifikasi metode-metode tradisional seperti sorogan, bandongan, mudzakarah, muhafadzah, talaqqi, dan halaqah, serta menemukan adanya perkembangan dan kombinasi antara metode tradisional dan metode yang lebih baru (Arif, Harun, &amp; Nor Abd Aziz, 2023). Penelitian tersebut memberikan peta metode pembelajaran kitab, namun fokusnya merupakan tinjauan metode baca kitab secara umum, bukan penelitian mengenai strategi lingkungan pesantren, minat belajar, dan maharah qira'ah pada dua situs aktual.</w:t>
      </w:r>
    </w:p>
    <w:p>
      <w:pPr>
        <w:spacing w:after="200" w:line="360"/>
        <w:jc w:val="both"/>
      </w:pPr>
      <w:r>
        <w:t xml:space="preserve">Ilmiani, Miolo, Hunainah, dan Maghfurin (2022) mengkaji pengembangan literasi membaca buku berbahasa asing pada konteks mahasiswa Pendidikan Bahasa Arab, dengan menelaah aktivitas yang dilakukan dosen dalam membangun literasi membaca bahasa Arab/asing (Ilmiani, Miolo, Hunainah, &amp; Maghfurin, 2022). Penelitian tersebut relevan pada aspek literasi dan aktivitas membaca, tetapi bukan penelitian pada konteks pesantren multisitus dan tidak mengintegrasikan strategi lingkungan pesantren, minat kitab turats, dan maharah qira'ah secara terpadu.</w:t>
      </w:r>
    </w:p>
    <w:p>
      <w:pPr>
        <w:pStyle w:val="Heading3"/>
        <w:spacing w:after="150" w:before="300"/>
      </w:pPr>
      <w:r>
        <w:rPr>
          <w:b/>
          <w:bCs/>
          <w:sz w:val="24"/>
          <w:szCs w:val="24"/>
        </w:rPr>
        <w:t xml:space="preserve">2. Tabel Penelitian Terdahulu</w:t>
      </w:r>
    </w:p>
    <w:p>
      <w:pPr>
        <w:spacing w:after="200" w:line="360"/>
        <w:jc w:val="center"/>
      </w:pPr>
      <w:r>
        <w:t xml:space="preserve">Tabel 2.1 Penelitian Terdahulu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500"/>
        <w:gridCol w:w="1300"/>
        <w:gridCol w:w="1500"/>
        <w:gridCol w:w="1300"/>
        <w:gridCol w:w="1526"/>
      </w:tblGrid>
      <w:tr>
        <w:trPr>
          <w:tblHeader/>
        </w:trPr>
        <w:tc>
          <w:tcPr>
            <w:tcW w:type="dxa" w:w="500"/>
            <w:shd w:fill="D9D9D9" w:color="auto" w:val="clear"/>
          </w:tcPr>
          <w:p>
            <w:pPr>
              <w:jc w:val="center"/>
            </w:pPr>
            <w:r>
              <w:rPr>
                <w:b/>
                <w:bCs/>
                <w:sz w:val="18"/>
                <w:szCs w:val="18"/>
              </w:rPr>
              <w:t xml:space="preserve">No.</w:t>
            </w:r>
          </w:p>
        </w:tc>
        <w:tc>
          <w:tcPr>
            <w:tcW w:type="dxa" w:w="1400"/>
            <w:shd w:fill="D9D9D9" w:color="auto" w:val="clear"/>
          </w:tcPr>
          <w:p>
            <w:pPr>
              <w:jc w:val="center"/>
            </w:pPr>
            <w:r>
              <w:rPr>
                <w:b/>
                <w:bCs/>
                <w:sz w:val="18"/>
                <w:szCs w:val="18"/>
              </w:rPr>
              <w:t xml:space="preserve">Peneliti/Tahun</w:t>
            </w:r>
          </w:p>
        </w:tc>
        <w:tc>
          <w:tcPr>
            <w:tcW w:type="dxa" w:w="1500"/>
            <w:shd w:fill="D9D9D9" w:color="auto" w:val="clear"/>
          </w:tcPr>
          <w:p>
            <w:pPr>
              <w:jc w:val="center"/>
            </w:pPr>
            <w:r>
              <w:rPr>
                <w:b/>
                <w:bCs/>
                <w:sz w:val="18"/>
                <w:szCs w:val="18"/>
              </w:rPr>
              <w:t xml:space="preserve">Fokus</w:t>
            </w:r>
          </w:p>
        </w:tc>
        <w:tc>
          <w:tcPr>
            <w:tcW w:type="dxa" w:w="1300"/>
            <w:shd w:fill="D9D9D9" w:color="auto" w:val="clear"/>
          </w:tcPr>
          <w:p>
            <w:pPr>
              <w:jc w:val="center"/>
            </w:pPr>
            <w:r>
              <w:rPr>
                <w:b/>
                <w:bCs/>
                <w:sz w:val="18"/>
                <w:szCs w:val="18"/>
              </w:rPr>
              <w:t xml:space="preserve">Metode</w:t>
            </w:r>
          </w:p>
        </w:tc>
        <w:tc>
          <w:tcPr>
            <w:tcW w:type="dxa" w:w="1500"/>
            <w:shd w:fill="D9D9D9" w:color="auto" w:val="clear"/>
          </w:tcPr>
          <w:p>
            <w:pPr>
              <w:jc w:val="center"/>
            </w:pPr>
            <w:r>
              <w:rPr>
                <w:b/>
                <w:bCs/>
                <w:sz w:val="18"/>
                <w:szCs w:val="18"/>
              </w:rPr>
              <w:t xml:space="preserve">Temuan Utama</w:t>
            </w:r>
          </w:p>
        </w:tc>
        <w:tc>
          <w:tcPr>
            <w:tcW w:type="dxa" w:w="1300"/>
            <w:shd w:fill="D9D9D9" w:color="auto" w:val="clear"/>
          </w:tcPr>
          <w:p>
            <w:pPr>
              <w:jc w:val="center"/>
            </w:pPr>
            <w:r>
              <w:rPr>
                <w:b/>
                <w:bCs/>
                <w:sz w:val="18"/>
                <w:szCs w:val="18"/>
              </w:rPr>
              <w:t xml:space="preserve">Persamaan</w:t>
            </w:r>
          </w:p>
        </w:tc>
        <w:tc>
          <w:tcPr>
            <w:tcW w:type="dxa" w:w="1526"/>
            <w:shd w:fill="D9D9D9" w:color="auto" w:val="clear"/>
          </w:tcPr>
          <w:p>
            <w:pPr>
              <w:jc w:val="center"/>
            </w:pPr>
            <w:r>
              <w:rPr>
                <w:b/>
                <w:bCs/>
                <w:sz w:val="18"/>
                <w:szCs w:val="18"/>
              </w:rPr>
              <w:t xml:space="preserve">Perbedaan dengan Penelitian Ini</w:t>
            </w:r>
          </w:p>
        </w:tc>
      </w:tr>
      <w:tr>
        <w:tc>
          <w:tcPr>
            <w:tcW w:type="dxa" w:w="500"/>
          </w:tcPr>
          <w:p>
            <w:pPr>
              <w:jc w:val="left"/>
            </w:pPr>
            <w:r>
              <w:rPr>
                <w:sz w:val="18"/>
                <w:szCs w:val="18"/>
              </w:rPr>
              <w:t xml:space="preserve">1</w:t>
            </w:r>
          </w:p>
        </w:tc>
        <w:tc>
          <w:tcPr>
            <w:tcW w:type="dxa" w:w="1400"/>
          </w:tcPr>
          <w:p>
            <w:pPr>
              <w:jc w:val="left"/>
            </w:pPr>
            <w:r>
              <w:rPr>
                <w:sz w:val="18"/>
                <w:szCs w:val="18"/>
              </w:rPr>
              <w:t xml:space="preserve">Amrullah &amp; Mutholingah (2025)</w:t>
            </w:r>
          </w:p>
        </w:tc>
        <w:tc>
          <w:tcPr>
            <w:tcW w:type="dxa" w:w="1500"/>
          </w:tcPr>
          <w:p>
            <w:pPr>
              <w:jc w:val="left"/>
            </w:pPr>
            <w:r>
              <w:rPr>
                <w:sz w:val="18"/>
                <w:szCs w:val="18"/>
              </w:rPr>
              <w:t xml:space="preserve">Pembelajaran kitab klasik (turats) di Pesantren Sidogiri</w:t>
            </w:r>
          </w:p>
        </w:tc>
        <w:tc>
          <w:tcPr>
            <w:tcW w:type="dxa" w:w="1300"/>
          </w:tcPr>
          <w:p>
            <w:pPr>
              <w:jc w:val="left"/>
            </w:pPr>
            <w:r>
              <w:rPr>
                <w:sz w:val="18"/>
                <w:szCs w:val="18"/>
              </w:rPr>
              <w:t xml:space="preserve">Kualitatif, studi kasus</w:t>
            </w:r>
          </w:p>
        </w:tc>
        <w:tc>
          <w:tcPr>
            <w:tcW w:type="dxa" w:w="1500"/>
          </w:tcPr>
          <w:p>
            <w:pPr>
              <w:jc w:val="left"/>
            </w:pPr>
            <w:r>
              <w:rPr>
                <w:sz w:val="18"/>
                <w:szCs w:val="18"/>
              </w:rPr>
              <w:t xml:space="preserve">Pembelajaran memiliki struktur kegiatan namun tetap fleksibel secara pedagogis; tradisi turats diadaptasi dengan pedagogi kontemporer</w:t>
            </w:r>
          </w:p>
        </w:tc>
        <w:tc>
          <w:tcPr>
            <w:tcW w:type="dxa" w:w="1300"/>
          </w:tcPr>
          <w:p>
            <w:pPr>
              <w:jc w:val="left"/>
            </w:pPr>
            <w:r>
              <w:rPr>
                <w:sz w:val="18"/>
                <w:szCs w:val="18"/>
              </w:rPr>
              <w:t xml:space="preserve">Sama-sama mengkaji pembelajaran kitab turats di pesantren</w:t>
            </w:r>
          </w:p>
        </w:tc>
        <w:tc>
          <w:tcPr>
            <w:tcW w:type="dxa" w:w="1526"/>
          </w:tcPr>
          <w:p>
            <w:pPr>
              <w:jc w:val="left"/>
            </w:pPr>
            <w:r>
              <w:rPr>
                <w:sz w:val="18"/>
                <w:szCs w:val="18"/>
              </w:rPr>
              <w:t xml:space="preserve">Fokus pada satu situs dan pada desain/implementasi pembelajaran, bukan pada strategi lingkungan multidimensional dan keterkaitannya dengan minat dan qira'ah pada dua situs</w:t>
            </w:r>
          </w:p>
        </w:tc>
      </w:tr>
      <w:tr>
        <w:tc>
          <w:tcPr>
            <w:tcW w:type="dxa" w:w="500"/>
          </w:tcPr>
          <w:p>
            <w:pPr>
              <w:jc w:val="left"/>
            </w:pPr>
            <w:r>
              <w:rPr>
                <w:sz w:val="18"/>
                <w:szCs w:val="18"/>
              </w:rPr>
              <w:t xml:space="preserve">2</w:t>
            </w:r>
          </w:p>
        </w:tc>
        <w:tc>
          <w:tcPr>
            <w:tcW w:type="dxa" w:w="1400"/>
          </w:tcPr>
          <w:p>
            <w:pPr>
              <w:jc w:val="left"/>
            </w:pPr>
            <w:r>
              <w:rPr>
                <w:sz w:val="18"/>
                <w:szCs w:val="18"/>
              </w:rPr>
              <w:t xml:space="preserve">Arif, Nasir, &amp; Ma'arif (2025)</w:t>
            </w:r>
          </w:p>
        </w:tc>
        <w:tc>
          <w:tcPr>
            <w:tcW w:type="dxa" w:w="1500"/>
          </w:tcPr>
          <w:p>
            <w:pPr>
              <w:jc w:val="left"/>
            </w:pPr>
            <w:r>
              <w:rPr>
                <w:sz w:val="18"/>
                <w:szCs w:val="18"/>
              </w:rPr>
              <w:t xml:space="preserve">Model pembelajaran kitab kuning dalam pengembangan expertise di pendidikan tinggi berbasis pesantren</w:t>
            </w:r>
          </w:p>
        </w:tc>
        <w:tc>
          <w:tcPr>
            <w:tcW w:type="dxa" w:w="1300"/>
          </w:tcPr>
          <w:p>
            <w:pPr>
              <w:jc w:val="left"/>
            </w:pPr>
            <w:r>
              <w:rPr>
                <w:sz w:val="18"/>
                <w:szCs w:val="18"/>
              </w:rPr>
              <w:t xml:space="preserve">Kualitatif, studi kasus</w:t>
            </w:r>
          </w:p>
        </w:tc>
        <w:tc>
          <w:tcPr>
            <w:tcW w:type="dxa" w:w="1500"/>
          </w:tcPr>
          <w:p>
            <w:pPr>
              <w:jc w:val="left"/>
            </w:pPr>
            <w:r>
              <w:rPr>
                <w:sz w:val="18"/>
                <w:szCs w:val="18"/>
              </w:rPr>
              <w:t xml:space="preserve">Menghasilkan model contextual literacy learning pada konteks penelitian tersebut</w:t>
            </w:r>
          </w:p>
        </w:tc>
        <w:tc>
          <w:tcPr>
            <w:tcW w:type="dxa" w:w="1300"/>
          </w:tcPr>
          <w:p>
            <w:pPr>
              <w:jc w:val="left"/>
            </w:pPr>
            <w:r>
              <w:rPr>
                <w:sz w:val="18"/>
                <w:szCs w:val="18"/>
              </w:rPr>
              <w:t xml:space="preserve">Sama-sama mengkaji pembelajaran kitab kuning/turats dalam tradisi intelektual pesantren</w:t>
            </w:r>
          </w:p>
        </w:tc>
        <w:tc>
          <w:tcPr>
            <w:tcW w:type="dxa" w:w="1526"/>
          </w:tcPr>
          <w:p>
            <w:pPr>
              <w:jc w:val="left"/>
            </w:pPr>
            <w:r>
              <w:rPr>
                <w:sz w:val="18"/>
                <w:szCs w:val="18"/>
              </w:rPr>
              <w:t xml:space="preserve">Fokus pada model pembelajaran dan pengembangan expertise, bukan strategi lingkungan multidimensional dan studi multisitus</w:t>
            </w:r>
          </w:p>
        </w:tc>
      </w:tr>
      <w:tr>
        <w:tc>
          <w:tcPr>
            <w:tcW w:type="dxa" w:w="500"/>
          </w:tcPr>
          <w:p>
            <w:pPr>
              <w:jc w:val="left"/>
            </w:pPr>
            <w:r>
              <w:rPr>
                <w:sz w:val="18"/>
                <w:szCs w:val="18"/>
              </w:rPr>
              <w:t xml:space="preserve">3</w:t>
            </w:r>
          </w:p>
        </w:tc>
        <w:tc>
          <w:tcPr>
            <w:tcW w:type="dxa" w:w="1400"/>
          </w:tcPr>
          <w:p>
            <w:pPr>
              <w:jc w:val="left"/>
            </w:pPr>
            <w:r>
              <w:rPr>
                <w:sz w:val="18"/>
                <w:szCs w:val="18"/>
              </w:rPr>
              <w:t xml:space="preserve">Syafei, Suleman, &amp; Rohanda (2024)</w:t>
            </w:r>
          </w:p>
        </w:tc>
        <w:tc>
          <w:tcPr>
            <w:tcW w:type="dxa" w:w="1500"/>
          </w:tcPr>
          <w:p>
            <w:pPr>
              <w:jc w:val="left"/>
            </w:pPr>
            <w:r>
              <w:rPr>
                <w:sz w:val="18"/>
                <w:szCs w:val="18"/>
              </w:rPr>
              <w:t xml:space="preserve">Pengembangan keterampilan membaca bahasa Arab untuk kitab klasik di pesantren Indonesia</w:t>
            </w:r>
          </w:p>
        </w:tc>
        <w:tc>
          <w:tcPr>
            <w:tcW w:type="dxa" w:w="1300"/>
          </w:tcPr>
          <w:p>
            <w:pPr>
              <w:jc w:val="left"/>
            </w:pPr>
            <w:r>
              <w:rPr>
                <w:sz w:val="18"/>
                <w:szCs w:val="18"/>
              </w:rPr>
              <w:t xml:space="preserve">Studi pengembangan model tiga tahap: studi pendahuluan, pengembangan model, dan validasi model</w:t>
            </w:r>
          </w:p>
        </w:tc>
        <w:tc>
          <w:tcPr>
            <w:tcW w:type="dxa" w:w="1500"/>
          </w:tcPr>
          <w:p>
            <w:pPr>
              <w:jc w:val="left"/>
            </w:pPr>
            <w:r>
              <w:rPr>
                <w:sz w:val="18"/>
                <w:szCs w:val="18"/>
              </w:rPr>
              <w:t xml:space="preserve">Menyoroti model pembelajaran bahasa Arab yang mendukung keterampilan membaca teks klasik</w:t>
            </w:r>
          </w:p>
        </w:tc>
        <w:tc>
          <w:tcPr>
            <w:tcW w:type="dxa" w:w="1300"/>
          </w:tcPr>
          <w:p>
            <w:pPr>
              <w:jc w:val="left"/>
            </w:pPr>
            <w:r>
              <w:rPr>
                <w:sz w:val="18"/>
                <w:szCs w:val="18"/>
              </w:rPr>
              <w:t xml:space="preserve">Sama-sama membahas maharah qira'ah dan kitab klasik dalam konteks pesantren</w:t>
            </w:r>
          </w:p>
        </w:tc>
        <w:tc>
          <w:tcPr>
            <w:tcW w:type="dxa" w:w="1526"/>
          </w:tcPr>
          <w:p>
            <w:pPr>
              <w:jc w:val="left"/>
            </w:pPr>
            <w:r>
              <w:rPr>
                <w:sz w:val="18"/>
                <w:szCs w:val="18"/>
              </w:rPr>
              <w:t xml:space="preserve">Tidak menempatkan strategi lingkungan fisik, akademik, sosial, dan religius maupun minat belajar sebagai fokus terpadu</w:t>
            </w:r>
          </w:p>
        </w:tc>
      </w:tr>
      <w:tr>
        <w:tc>
          <w:tcPr>
            <w:tcW w:type="dxa" w:w="500"/>
          </w:tcPr>
          <w:p>
            <w:pPr>
              <w:jc w:val="left"/>
            </w:pPr>
            <w:r>
              <w:rPr>
                <w:sz w:val="18"/>
                <w:szCs w:val="18"/>
              </w:rPr>
              <w:t xml:space="preserve">4</w:t>
            </w:r>
          </w:p>
        </w:tc>
        <w:tc>
          <w:tcPr>
            <w:tcW w:type="dxa" w:w="1400"/>
          </w:tcPr>
          <w:p>
            <w:pPr>
              <w:jc w:val="left"/>
            </w:pPr>
            <w:r>
              <w:rPr>
                <w:sz w:val="18"/>
                <w:szCs w:val="18"/>
              </w:rPr>
              <w:t xml:space="preserve">Arif, Harun, &amp; Nor Abd Aziz (2023)</w:t>
            </w:r>
          </w:p>
        </w:tc>
        <w:tc>
          <w:tcPr>
            <w:tcW w:type="dxa" w:w="1500"/>
          </w:tcPr>
          <w:p>
            <w:pPr>
              <w:jc w:val="left"/>
            </w:pPr>
            <w:r>
              <w:rPr>
                <w:sz w:val="18"/>
                <w:szCs w:val="18"/>
              </w:rPr>
              <w:t xml:space="preserve">Tren metode pembelajaran membaca kitab kuning (2000–2022)</w:t>
            </w:r>
          </w:p>
        </w:tc>
        <w:tc>
          <w:tcPr>
            <w:tcW w:type="dxa" w:w="1300"/>
          </w:tcPr>
          <w:p>
            <w:pPr>
              <w:jc w:val="left"/>
            </w:pPr>
            <w:r>
              <w:rPr>
                <w:sz w:val="18"/>
                <w:szCs w:val="18"/>
              </w:rPr>
              <w:t xml:space="preserve">Systematic literature review</w:t>
            </w:r>
          </w:p>
        </w:tc>
        <w:tc>
          <w:tcPr>
            <w:tcW w:type="dxa" w:w="1500"/>
          </w:tcPr>
          <w:p>
            <w:pPr>
              <w:jc w:val="left"/>
            </w:pPr>
            <w:r>
              <w:rPr>
                <w:sz w:val="18"/>
                <w:szCs w:val="18"/>
              </w:rPr>
              <w:t xml:space="preserve">Teridentifikasi metode tradisional (sorogan, bandongan, mudzakarah, muhafadzah, talaqqi, halaqah) serta perkembangan kombinasi dengan metode baru</w:t>
            </w:r>
          </w:p>
        </w:tc>
        <w:tc>
          <w:tcPr>
            <w:tcW w:type="dxa" w:w="1300"/>
          </w:tcPr>
          <w:p>
            <w:pPr>
              <w:jc w:val="left"/>
            </w:pPr>
            <w:r>
              <w:rPr>
                <w:sz w:val="18"/>
                <w:szCs w:val="18"/>
              </w:rPr>
              <w:t xml:space="preserve">Sama-sama membahas metode pembelajaran kitab di pesantren</w:t>
            </w:r>
          </w:p>
        </w:tc>
        <w:tc>
          <w:tcPr>
            <w:tcW w:type="dxa" w:w="1526"/>
          </w:tcPr>
          <w:p>
            <w:pPr>
              <w:jc w:val="left"/>
            </w:pPr>
            <w:r>
              <w:rPr>
                <w:sz w:val="18"/>
                <w:szCs w:val="18"/>
              </w:rPr>
              <w:t xml:space="preserve">Fokus pada tinjauan metode baca kitab secara umum, bukan strategi lingkungan pesantren dan studi multisitus</w:t>
            </w:r>
          </w:p>
        </w:tc>
      </w:tr>
      <w:tr>
        <w:tc>
          <w:tcPr>
            <w:tcW w:type="dxa" w:w="500"/>
          </w:tcPr>
          <w:p>
            <w:pPr>
              <w:jc w:val="left"/>
            </w:pPr>
            <w:r>
              <w:rPr>
                <w:sz w:val="18"/>
                <w:szCs w:val="18"/>
              </w:rPr>
              <w:t xml:space="preserve">5</w:t>
            </w:r>
          </w:p>
        </w:tc>
        <w:tc>
          <w:tcPr>
            <w:tcW w:type="dxa" w:w="1400"/>
          </w:tcPr>
          <w:p>
            <w:pPr>
              <w:jc w:val="left"/>
            </w:pPr>
            <w:r>
              <w:rPr>
                <w:sz w:val="18"/>
                <w:szCs w:val="18"/>
              </w:rPr>
              <w:t xml:space="preserve">Ilmiani, Miolo, Hunainah, &amp; Maghfurin (2022)</w:t>
            </w:r>
          </w:p>
        </w:tc>
        <w:tc>
          <w:tcPr>
            <w:tcW w:type="dxa" w:w="1500"/>
          </w:tcPr>
          <w:p>
            <w:pPr>
              <w:jc w:val="left"/>
            </w:pPr>
            <w:r>
              <w:rPr>
                <w:sz w:val="18"/>
                <w:szCs w:val="18"/>
              </w:rPr>
              <w:t xml:space="preserve">Literasi membaca buku berbahasa asing pada mahasiswa Pendidikan Bahasa Arab</w:t>
            </w:r>
          </w:p>
        </w:tc>
        <w:tc>
          <w:tcPr>
            <w:tcW w:type="dxa" w:w="1300"/>
          </w:tcPr>
          <w:p>
            <w:pPr>
              <w:jc w:val="left"/>
            </w:pPr>
            <w:r>
              <w:rPr>
                <w:sz w:val="18"/>
                <w:szCs w:val="18"/>
              </w:rPr>
              <w:t xml:space="preserve">Deskriptif kualitatif; wawancara, observasi, dan dokumentasi</w:t>
            </w:r>
          </w:p>
        </w:tc>
        <w:tc>
          <w:tcPr>
            <w:tcW w:type="dxa" w:w="1500"/>
          </w:tcPr>
          <w:p>
            <w:pPr>
              <w:jc w:val="left"/>
            </w:pPr>
            <w:r>
              <w:rPr>
                <w:sz w:val="18"/>
                <w:szCs w:val="18"/>
              </w:rPr>
              <w:t xml:space="preserve">Aktivitas dosen berperan dalam membangun literasi membaca bahasa Arab/asing</w:t>
            </w:r>
          </w:p>
        </w:tc>
        <w:tc>
          <w:tcPr>
            <w:tcW w:type="dxa" w:w="1300"/>
          </w:tcPr>
          <w:p>
            <w:pPr>
              <w:jc w:val="left"/>
            </w:pPr>
            <w:r>
              <w:rPr>
                <w:sz w:val="18"/>
                <w:szCs w:val="18"/>
              </w:rPr>
              <w:t xml:space="preserve">Sama-sama membahas literasi dan aktivitas membaca</w:t>
            </w:r>
          </w:p>
        </w:tc>
        <w:tc>
          <w:tcPr>
            <w:tcW w:type="dxa" w:w="1526"/>
          </w:tcPr>
          <w:p>
            <w:pPr>
              <w:jc w:val="left"/>
            </w:pPr>
            <w:r>
              <w:rPr>
                <w:sz w:val="18"/>
                <w:szCs w:val="18"/>
              </w:rPr>
              <w:t xml:space="preserve">Bukan penelitian pada konteks pesantren multisitus dan tidak mengintegrasikan strategi lingkungan, minat, dan qira'ah secara terpadu</w:t>
            </w:r>
          </w:p>
        </w:tc>
      </w:tr>
    </w:tbl>
    <w:p>
      <w:pPr>
        <w:spacing w:after="200"/>
      </w:pPr>
    </w:p>
    <w:p>
      <w:pPr>
        <w:pStyle w:val="Heading3"/>
        <w:spacing w:after="150" w:before="300"/>
      </w:pPr>
      <w:r>
        <w:rPr>
          <w:b/>
          <w:bCs/>
          <w:sz w:val="24"/>
          <w:szCs w:val="24"/>
        </w:rPr>
        <w:t xml:space="preserve">3. Posisi Penelitian</w:t>
      </w:r>
    </w:p>
    <w:p>
      <w:pPr>
        <w:spacing w:after="200" w:line="360"/>
        <w:jc w:val="both"/>
      </w:pPr>
      <w:r>
        <w:t xml:space="preserve">Kelima penelitian terdahulu di atas dapat dipetakan ke dalam lima jalur kajian, yaitu desain pembelajaran turats (Amrullah &amp; Mutholingah, 2025), model pembelajaran kitab kuning (Arif, Nasir, &amp; Ma'arif, 2025), pengembangan keterampilan membaca bahasa Arab untuk kitab klasik (Syafei, Suleman, &amp; Rohanda, 2024), tinjauan metode membaca kitab kuning (Arif, Harun, &amp; Nor Abd Aziz, 2023), serta literasi membaca (Ilmiani, Miolo, Hunainah, &amp; Maghfurin, 2022).</w:t>
      </w:r>
    </w:p>
    <w:p>
      <w:pPr>
        <w:spacing w:after="200" w:line="360"/>
        <w:jc w:val="both"/>
      </w:pPr>
      <w:r>
        <w:t xml:space="preserve">Kajian mutakhir telah membahas desain dan model pembelajaran turats, metode membaca kitab kuning, literasi membaca, serta pengembangan keterampilan membaca teks Arab/kitab klasik. Namun, dalam literatur yang ditelaah, fokus tersebut terutama diarahkan pada aspek pedagogis, model pembelajaran, literasi, metode membaca, atau keterampilan kebahasaan tertentu. Ruang kajian penelitian ini terletak pada analisis terpadu strategi pengelolaan lingkungan fisik, akademik, sosial, dan religius—dengan budaya pesantren sebagai konteks lintas dimensi—serta keterkaitannya dengan minat belajar kitab turats dan perkembangan maharah qira'ah melalui studi multisitus pada dua pesantren.</w:t>
      </w:r>
    </w:p>
    <w:p>
      <w:pPr>
        <w:pStyle w:val="Heading2"/>
        <w:spacing w:after="200" w:before="400"/>
      </w:pPr>
      <w:r>
        <w:rPr>
          <w:b/>
          <w:bCs/>
          <w:sz w:val="26"/>
          <w:szCs w:val="26"/>
        </w:rPr>
        <w:t xml:space="preserve">B. Kajian Teoretis</w:t>
      </w:r>
    </w:p>
    <w:p>
      <w:pPr>
        <w:pStyle w:val="Heading3"/>
        <w:spacing w:after="150" w:before="300"/>
      </w:pPr>
      <w:r>
        <w:rPr>
          <w:b/>
          <w:bCs/>
          <w:sz w:val="24"/>
          <w:szCs w:val="24"/>
        </w:rPr>
        <w:t xml:space="preserve">1. Lingkungan Pembelajaran Pesantren</w:t>
      </w:r>
    </w:p>
    <w:p>
      <w:pPr>
        <w:pStyle w:val="Heading4"/>
        <w:spacing w:after="100" w:before="200"/>
      </w:pPr>
      <w:r>
        <w:rPr>
          <w:b/>
          <w:bCs/>
          <w:sz w:val="22"/>
          <w:szCs w:val="22"/>
        </w:rPr>
        <w:t xml:space="preserve">a. Konsep Lingkungan Pembelajaran</w:t>
      </w:r>
    </w:p>
    <w:p>
      <w:pPr>
        <w:spacing w:after="200" w:line="360"/>
        <w:jc w:val="both"/>
      </w:pPr>
      <w:r>
        <w:t xml:space="preserve">Dalam penelitian ini, lingkungan pembelajaran dipahami secara operasional sebagai keseluruhan kondisi yang mengitari pengalaman belajar peserta didik. Pemahaman tersebut disusun melalui sintesis literatur mengenai dukungan lingkungan, hubungan pendidik-peserta didik, sumber belajar, kondisi fisik, dan konteks kelembagaan pendidikan (Li &amp; Xue, 2023; Villarreal Arroyo, Peñabaena-Niebles, &amp; Berdugo Correa, 2023). Dukungan lingkungan belajar, sumber belajar, serta relasi pendidik-peserta didik dan interaksi antarpeserta didik teridentifikasi sebagai faktor yang berkaitan dengan keterlibatan peserta didik dalam konteks pendidikan tinggi (Li &amp; Xue, 2023), meskipun temuan tersebut tidak digeneralisasikan secara langsung kepada santri di pesantren. Empat dimensi lingkungan pembelajaran pesantren yang digunakan dalam penelitian ini tetap merupakan kerangka analitis hasil sintesis peneliti, bukan replikasi dari satu kerangka teori tunggal.</w:t>
      </w:r>
    </w:p>
    <w:p>
      <w:pPr>
        <w:pStyle w:val="Heading4"/>
        <w:spacing w:after="100" w:before="200"/>
      </w:pPr>
      <w:r>
        <w:rPr>
          <w:b/>
          <w:bCs/>
          <w:sz w:val="22"/>
          <w:szCs w:val="22"/>
        </w:rPr>
        <w:t xml:space="preserve">b. Lingkungan Pembelajaran dalam Konteks Pesantren</w:t>
      </w:r>
    </w:p>
    <w:p>
      <w:pPr>
        <w:spacing w:after="200" w:line="360"/>
        <w:jc w:val="both"/>
      </w:pPr>
      <w:r>
        <w:t xml:space="preserve">Pada pesantren berasrama, kehidupan pendidikan melampaui jam pengajian formal karena santri juga menjalani kehidupan asrama, kegiatan religius, interaksi sosial, dan berbagai rutinitas kelembagaan. Dalam salah satu konteks pendidikan berasrama, Febriani, Asrori, dan Sutaman (2025) menunjukkan bahwa pembelajaran bahasa Arab dapat terintegrasi melalui kegiatan di kelas, asrama, dan lingkungan lembaga. Kajian tersebut memberikan ilustrasi bahwa lingkungan pendidikan berasrama dapat memperluas ruang belajar melampaui pembelajaran kelas, tanpa mengandaikan bahwa seluruh pesantren memiliki pola yang identik.</w:t>
      </w:r>
    </w:p>
    <w:p>
      <w:pPr>
        <w:pStyle w:val="Heading4"/>
        <w:spacing w:after="100" w:before="200"/>
      </w:pPr>
      <w:r>
        <w:rPr>
          <w:b/>
          <w:bCs/>
          <w:sz w:val="22"/>
          <w:szCs w:val="22"/>
        </w:rPr>
        <w:t xml:space="preserve">c. Dimensi Lingkungan Pembelajaran Pesantren</w:t>
      </w:r>
    </w:p>
    <w:p>
      <w:pPr>
        <w:spacing w:after="200" w:line="360"/>
        <w:jc w:val="both"/>
      </w:pPr>
      <w:r>
        <w:t xml:space="preserve">Dalam penelitian ini, lingkungan pembelajaran pesantren ditelaah melalui empat dimensi, yaitu dimensi fisik, yang mencakup kondisi ruang dan fasilitas belajar yang berkaitan dengan kenyamanan dan pengalaman belajar santri (Villarreal Arroyo, Peñabaena-Niebles, &amp; Berdugo Correa, 2023); dimensi akademik, yang mencakup pola, jadwal, dan metode pembelajaran kitab turats yang menyediakan struktur dan kesempatan yang berbeda bagi interaksi santri dengan kitab (Amrullah &amp; Mutholingah, 2025; Arif, Nasir, &amp; Ma'arif, 2025), serta integrasi pembelajaran formal dan nonformal dalam lembaga berasrama (Febriani, Asrori, &amp; Sutaman, 2025); dimensi sosial, yang mencakup dukungan pendidik dan relasi interpersonal di lingkungan pesantren, yang diasosiasikan dengan keterlibatan (engagement) peserta didik (Vargas-Madriz, Konishi, &amp; Wong, 2024), serta hubungan interpersonal dalam budaya pesantren (Nashihin, Majeed, Derysmono, Armadi, &amp; Syukur, 2025); dan dimensi religius, yang mencakup praktik religius dan internalisasi nilai keagamaan dalam kehidupan pesantren (Nashihin, Majeed, Derysmono, Armadi, &amp; Syukur, 2025), tradisi intelektual dan spiritual pendidikan pesantren (Budiman, Anwar, Zarkasyi, &amp; Lateh, 2025), serta nilai thalab al-'ilm sebagai bagian dari ethos belajar dalam pendidikan Islam (Ramadhan, Santosa, Ahmad, &amp; Abror, 2026).</w:t>
      </w:r>
    </w:p>
    <w:p>
      <w:pPr>
        <w:pStyle w:val="Heading4"/>
        <w:spacing w:after="100" w:before="200"/>
      </w:pPr>
      <w:r>
        <w:rPr>
          <w:b/>
          <w:bCs/>
          <w:sz w:val="22"/>
          <w:szCs w:val="22"/>
        </w:rPr>
        <w:t xml:space="preserve">d. Budaya Pesantren sebagai Konteks Lintas Dimensi</w:t>
      </w:r>
    </w:p>
    <w:p>
      <w:pPr>
        <w:spacing w:after="200" w:line="360"/>
        <w:jc w:val="both"/>
      </w:pPr>
      <w:r>
        <w:t xml:space="preserve">Budaya pesantren, yang mencakup kebiasaan, tradisi, nilai, kedisiplinan, dan orientasi belajar, dipahami dalam penelitian ini sebagai konteks yang melintasi keempat dimensi tersebut, bukan sebagai dimensi tersendiri. Pemahaman ini merupakan sintesis analitis penelitian yang diperkuat oleh kajian mengenai peran budaya pesantren dalam pembentukan karakter akademik (Nashihin, Majeed, Derysmono, Armadi, &amp; Syukur, 2025) serta kajian mengenai pesantren sebagai pendidikan yang mengintegrasikan dimensi intelektual dan spiritual (Budiman, Anwar, Zarkasyi, &amp; Lateh, 2025).</w:t>
      </w:r>
    </w:p>
    <w:p>
      <w:pPr>
        <w:pStyle w:val="Heading4"/>
        <w:spacing w:after="100" w:before="200"/>
      </w:pPr>
      <w:r>
        <w:rPr>
          <w:b/>
          <w:bCs/>
          <w:sz w:val="22"/>
          <w:szCs w:val="22"/>
        </w:rPr>
        <w:t xml:space="preserve">e. Fungsi Lingkungan Pembelajaran Pesantren</w:t>
      </w:r>
    </w:p>
    <w:p>
      <w:pPr>
        <w:spacing w:after="200" w:line="360"/>
        <w:jc w:val="both"/>
      </w:pPr>
      <w:r>
        <w:t xml:space="preserve">Lingkungan pembelajaran pesantren dapat menyediakan kondisi yang mendukung proses belajar santri, memberikan ruang bagi interaksi akademik dan sosial, serta menjadi wadah bagi internalisasi nilai religius dalam aktivitas belajar sehari-hari. Dukungan pendidik, sebagai bagian dari lingkungan sosial, diasosiasikan dengan keterlibatan peserta didik dalam proses belajar (Vargas-Madriz, Konishi, &amp; Wong, 2024).</w:t>
      </w:r>
    </w:p>
    <w:p>
      <w:pPr>
        <w:pStyle w:val="Heading4"/>
        <w:spacing w:after="100" w:before="200"/>
      </w:pPr>
      <w:r>
        <w:rPr>
          <w:b/>
          <w:bCs/>
          <w:sz w:val="22"/>
          <w:szCs w:val="22"/>
        </w:rPr>
        <w:t xml:space="preserve">f. Unsur-Unsur Pembentuk Lingkungan Pembelajaran Pesantren</w:t>
      </w:r>
    </w:p>
    <w:p>
      <w:pPr>
        <w:spacing w:after="200" w:line="360"/>
        <w:jc w:val="both"/>
      </w:pPr>
      <w:r>
        <w:t xml:space="preserve">Dalam kerangka analitis penelitian ini, unsur-unsur pembentuk lingkungan pembelajaran pesantren mencakup kondisi fisik ruang belajar dan asrama; pola, jadwal, dan metode pembelajaran kitab; dukungan dan relasi antara pengasuh, ustaz, pengurus, dan santri; serta praktik dan nilai religius yang menyertai kehidupan pesantren. Lingkungan pembelajaran tidak hanya merupakan kondisi yang tersedia, tetapi dapat dibentuk dan dikelola melalui berbagai praktik kelembagaan pesantren.</w:t>
      </w:r>
    </w:p>
    <w:p>
      <w:pPr>
        <w:pStyle w:val="Heading4"/>
        <w:spacing w:after="100" w:before="200"/>
      </w:pPr>
      <w:r>
        <w:rPr>
          <w:b/>
          <w:bCs/>
          <w:sz w:val="22"/>
          <w:szCs w:val="22"/>
        </w:rPr>
        <w:t xml:space="preserve">g. Sintesis Konseptual</w:t>
      </w:r>
    </w:p>
    <w:p>
      <w:pPr>
        <w:spacing w:after="200" w:line="360"/>
        <w:jc w:val="both"/>
      </w:pPr>
      <w:r>
        <w:t xml:space="preserve">Empat dimensi lingkungan pembelajaran pesantren yang digunakan dalam penelitian ini—fisik, akademik, sosial, dan religius, dengan budaya pesantren sebagai konteks lintas dimensi—bukan merupakan teori tunggal dari satu ahli, melainkan kerangka analitis hasil sintesis peneliti berdasarkan literatur lingkungan pembelajaran dan pendidikan pesantren. Kerangka ini digunakan sebagai acuan analisis dalam membaca strategi lingkungan pembelajaran pada kedua situs penelitian.</w:t>
      </w:r>
    </w:p>
    <w:p>
      <w:pPr>
        <w:pStyle w:val="Heading3"/>
        <w:spacing w:after="150" w:before="300"/>
      </w:pPr>
      <w:r>
        <w:rPr>
          <w:b/>
          <w:bCs/>
          <w:sz w:val="24"/>
          <w:szCs w:val="24"/>
        </w:rPr>
        <w:t xml:space="preserve">2. Minat Belajar</w:t>
      </w:r>
    </w:p>
    <w:p>
      <w:pPr>
        <w:pStyle w:val="Heading4"/>
        <w:spacing w:after="100" w:before="200"/>
      </w:pPr>
      <w:r>
        <w:rPr>
          <w:b/>
          <w:bCs/>
          <w:sz w:val="22"/>
          <w:szCs w:val="22"/>
        </w:rPr>
        <w:t xml:space="preserve">a. Konsep Minat Belajar</w:t>
      </w:r>
    </w:p>
    <w:p>
      <w:pPr>
        <w:spacing w:after="200" w:line="360"/>
        <w:jc w:val="both"/>
      </w:pPr>
      <w:r>
        <w:t xml:space="preserve">Minat dipahami sebagai konstruk ketertarikan terhadap objek atau aktivitas belajar. Dalam kajian psikologi pendidikan, minat umumnya dibedakan menjadi individual interest dan situational interest. Individual interest merujuk pada ketertarikan yang relatif menetap pada diri seseorang terhadap suatu objek atau aktivitas, yang berkaitan dengan keterlibatan dalam aktivitas belajar bahasa secara mandiri di luar kelas (Lai, Chen, Wang, &amp; Qi, 2024). Situational interest merujuk pada ketertarikan yang muncul dari kondisi atau aktivitas belajar tertentu (Guo &amp; Fryer, 2025). Kajian mengenai individual interest dan pembelajaran bahasa mandiri berbasis teknologi tersebut dilaksanakan pada konteks pembelajaran bahasa Inggris di luar kelas, sehingga tidak dialihkan begitu saja ke konteks pembelajaran kitab turats di pesantren; kajian tersebut digunakan dalam penelitian ini hanya sebagai acuan konseptual mengenai perbedaan individual interest dan situational interest. Interest tidak disamakan dengan motivasi (motivation), sebab keduanya merupakan konstruk yang berbeda meskipun saling berkaitan.</w:t>
      </w:r>
    </w:p>
    <w:p>
      <w:pPr>
        <w:pStyle w:val="Heading4"/>
        <w:spacing w:after="100" w:before="200"/>
      </w:pPr>
      <w:r>
        <w:rPr>
          <w:b/>
          <w:bCs/>
          <w:sz w:val="22"/>
          <w:szCs w:val="22"/>
        </w:rPr>
        <w:t xml:space="preserve">b. Minat, Motivasi, Perhatian, dan Engagement</w:t>
      </w:r>
    </w:p>
    <w:p>
      <w:pPr>
        <w:spacing w:after="200" w:line="360"/>
        <w:jc w:val="both"/>
      </w:pPr>
      <w:r>
        <w:t xml:space="preserve">Untuk kepentingan analisis penelitian ini, minat dibedakan dari motivasi, perhatian, dan engagement. Minat diarahkan pada ketertarikan santri terhadap objek atau aktivitas belajar; motivasi dipahami secara lebih luas sebagai dorongan yang menyertai tindakan belajar; perhatian merujuk pada pemusatan pada aktivitas atau objek belajar; sedangkan engagement menunjuk pada keterlibatan aktual dalam kegiatan belajar. Pembedaan tersebut digunakan secara operasional agar engagement, perhatian, atau motivasi tidak diperlakukan sebagai sinonim minat. Dalam penelitian ini, engagement digunakan sebagai salah satu jejak empiris yang membantu membaca minat bersama data lain.</w:t>
      </w:r>
    </w:p>
    <w:p>
      <w:pPr>
        <w:pStyle w:val="Heading4"/>
        <w:spacing w:after="100" w:before="200"/>
      </w:pPr>
      <w:r>
        <w:rPr>
          <w:b/>
          <w:bCs/>
          <w:sz w:val="22"/>
          <w:szCs w:val="22"/>
        </w:rPr>
        <w:t xml:space="preserve">c. Sumber dan Kondisi yang Berkaitan dengan Munculnya Minat</w:t>
      </w:r>
    </w:p>
    <w:p>
      <w:pPr>
        <w:spacing w:after="200" w:line="360"/>
        <w:jc w:val="both"/>
      </w:pPr>
      <w:r>
        <w:t xml:space="preserve">Situational interest dalam aktivitas belajar dapat muncul dari berbagai sumber, di antaranya nilai kegunaan/relevansi/kebermaknaan aktivitas belajar bagi peserta didik, kebaruan atau variasi dalam aktivitas, aktivasi kognitif atau kompleksitas tugas yang sesuai, interaksi sosial dalam proses belajar, aktivitas praktik langsung (hands-on), serta ketersediaan pilihan dalam aktivitas belajar (Guo &amp; Fryer, 2025). Keenam sumber tersebut digunakan sebagai acuan konseptual untuk memahami kondisi yang dapat memunculkan situational interest dalam pembelajaran, bukan sebagai enam indikator yang diukur secara langsung dalam penelitian ini. Dukungan pendidik, sebagai bagian dari lingkungan sosial, diasosiasikan dengan keterlibatan peserta didik dalam pembelajaran (Vargas-Madriz, Konishi, &amp; Wong, 2024). Kondisi dan aktivitas pembelajaran tertentu dapat menyediakan kesempatan bagi munculnya situational interest, tetapi hubungan tersebut tidak dipahami sebagai hubungan kausal deterministik.</w:t>
      </w:r>
    </w:p>
    <w:p>
      <w:pPr>
        <w:pStyle w:val="Heading4"/>
        <w:spacing w:after="100" w:before="200"/>
      </w:pPr>
      <w:r>
        <w:rPr>
          <w:b/>
          <w:bCs/>
          <w:sz w:val="22"/>
          <w:szCs w:val="22"/>
        </w:rPr>
        <w:t xml:space="preserve">d. Literasi, Kesempatan Belajar, dan Minat</w:t>
      </w:r>
    </w:p>
    <w:p>
      <w:pPr>
        <w:spacing w:after="200" w:line="360"/>
        <w:jc w:val="both"/>
      </w:pPr>
      <w:r>
        <w:t xml:space="preserve">Ilmiani et al. (2022) menunjukkan bahwa pembangunan literasi membaca dapat dilaksanakan melalui pengenalan referensi, penjelasan manfaat membaca, pembimbingan langkah membaca, penugasan ulasan, serta pendampingan akademik. Kajian tersebut digunakan dalam penelitian ini sebagai penguat mengenai bentuk kesempatan dan pendampingan literasi, bukan sebagai bukti langsung bahwa aktivitas tersebut menyebabkan peningkatan minat.</w:t>
      </w:r>
    </w:p>
    <w:p>
      <w:pPr>
        <w:pStyle w:val="Heading4"/>
        <w:spacing w:after="100" w:before="200"/>
      </w:pPr>
      <w:r>
        <w:rPr>
          <w:b/>
          <w:bCs/>
          <w:sz w:val="22"/>
          <w:szCs w:val="22"/>
        </w:rPr>
        <w:t xml:space="preserve">e. Indikator/Kategori Minat Belajar dalam Penelitian Ini</w:t>
      </w:r>
    </w:p>
    <w:p>
      <w:pPr>
        <w:spacing w:after="200" w:line="360"/>
        <w:jc w:val="both"/>
      </w:pPr>
      <w:r>
        <w:t xml:space="preserve">Minat belajar kitab turats dalam penelitian ini dibaca melalui tujuh kategori, yaitu ketertarikan, rasa senang, perhatian, keterlibatan, kesungguhan, konsistensi, dan kemauan memperdalam. Ketujuh kategori tersebut merupakan sintesis operasional peneliti berdasarkan literatur minat dan kebutuhan pembacaan data kualitatif, bukan tujuh indikator yang dirumuskan secara persis oleh satu ahli. Kehadiran santri dalam kegiatan pembelajaran tidak dipahami secara tunggal sebagai bukti minat, terutama pada kegiatan yang bersifat wajib. Pada kegiatan wajib, kehadiran dibaca bersama perhatian, partisipasi, inisiatif, konsistensi, keterangan informan, dan aktivitas di luar kewajiban formal.</w:t>
      </w:r>
    </w:p>
    <w:p>
      <w:pPr>
        <w:pStyle w:val="Heading4"/>
        <w:spacing w:after="100" w:before="200"/>
      </w:pPr>
      <w:r>
        <w:rPr>
          <w:b/>
          <w:bCs/>
          <w:sz w:val="22"/>
          <w:szCs w:val="22"/>
        </w:rPr>
        <w:t xml:space="preserve">f. Minat Belajar Kitab Turats dalam Konteks Penelitian</w:t>
      </w:r>
    </w:p>
    <w:p>
      <w:pPr>
        <w:spacing w:after="200" w:line="360"/>
        <w:jc w:val="both"/>
      </w:pPr>
      <w:r>
        <w:t xml:space="preserve">Minat terhadap kitab turats dalam penelitian ini ditelaah melalui cara santri memaknai kitab yang dipelajari, memperhatikan proses pembelajaran, terlibat dalam kegiatan yang berkaitan dengan kitab, serta menunjukkan inisiatif untuk berinteraksi lebih jauh dengan kitab, termasuk apabila terdapat aktivitas yang dilakukan di luar tuntutan formal. Nilai thalab al-'ilm sebagai bagian dari ethos menuntut ilmu dalam pendidikan Islam (Ramadhan, Santosa, Ahmad, &amp; Abror, 2026) digunakan dalam penelitian ini sebatas sebagai konteks religius yang menyertai orientasi belajar santri, bukan sebagai teori minat belajar.</w:t>
      </w:r>
    </w:p>
    <w:p>
      <w:pPr>
        <w:pStyle w:val="Heading4"/>
        <w:spacing w:after="100" w:before="200"/>
      </w:pPr>
      <w:r>
        <w:rPr>
          <w:b/>
          <w:bCs/>
          <w:sz w:val="22"/>
          <w:szCs w:val="22"/>
        </w:rPr>
        <w:t xml:space="preserve">g. Sintesis Konseptual Minat Belajar</w:t>
      </w:r>
    </w:p>
    <w:p>
      <w:pPr>
        <w:spacing w:after="200" w:line="360"/>
        <w:jc w:val="both"/>
      </w:pPr>
      <w:r>
        <w:t xml:space="preserve">Minat belajar dalam penelitian ini dipahami sebagai konstruk psikologis yang dibaca secara kualitatif melalui jejak-jejak empiris, bukan diukur dengan skor atau instrumen tertutup. Minat tidak disamakan dengan engagement; engagement, perhatian, dan inisiatif merupakan bukti yang dibaca secara bersama-sama untuk memahami minat. Kondisi lingkungan pembelajaran dapat berkaitan dengan dan menyediakan kesempatan bagi munculnya minat belajar kitab turats, tetapi hubungan tersebut tidak dipahami sebagai hubungan kausal deterministik.</w:t>
      </w:r>
    </w:p>
    <w:p>
      <w:pPr>
        <w:pStyle w:val="Heading3"/>
        <w:spacing w:after="150" w:before="300"/>
      </w:pPr>
      <w:r>
        <w:rPr>
          <w:b/>
          <w:bCs/>
          <w:sz w:val="24"/>
          <w:szCs w:val="24"/>
        </w:rPr>
        <w:t xml:space="preserve">3. Kitab Turats</w:t>
      </w:r>
    </w:p>
    <w:p>
      <w:pPr>
        <w:pStyle w:val="Heading4"/>
        <w:spacing w:after="100" w:before="200"/>
      </w:pPr>
      <w:r>
        <w:rPr>
          <w:b/>
          <w:bCs/>
          <w:sz w:val="22"/>
          <w:szCs w:val="22"/>
        </w:rPr>
        <w:t xml:space="preserve">a. Konsep Kitab Turats</w:t>
      </w:r>
    </w:p>
    <w:p>
      <w:pPr>
        <w:spacing w:after="200" w:line="360"/>
        <w:jc w:val="both"/>
      </w:pPr>
      <w:r>
        <w:t xml:space="preserve">Kitab turats dipahami sebagai literatur klasik keislaman berbahasa Arab yang menjadi bagian dari tradisi keilmuan dan pendidikan pesantren (Amrullah &amp; Mutholingah, 2025; Arif, Nasir, &amp; Ma'arif, 2025). Kitab-kitab tersebut diajarkan dan dipelajari sebagai bagian dari tradisi intelektual pesantren yang diwariskan secara berkelanjutan dalam proses pembelajaran keislaman.</w:t>
      </w:r>
    </w:p>
    <w:p>
      <w:pPr>
        <w:pStyle w:val="Heading4"/>
        <w:spacing w:after="100" w:before="200"/>
      </w:pPr>
      <w:r>
        <w:rPr>
          <w:b/>
          <w:bCs/>
          <w:sz w:val="22"/>
          <w:szCs w:val="22"/>
        </w:rPr>
        <w:t xml:space="preserve">b. Kitab Turats dan Istilah Kitab Kuning</w:t>
      </w:r>
    </w:p>
    <w:p>
      <w:pPr>
        <w:spacing w:after="200" w:line="360"/>
        <w:jc w:val="both"/>
      </w:pPr>
      <w:r>
        <w:t xml:space="preserve">Istilah kitab turats dan kitab kuning berkaitan erat dalam konteks pesantren Indonesia (Amrullah &amp; Mutholingah, 2025; Arif, Nasir, &amp; Ma'arif, 2025), tanpa diasumsikan identik dalam seluruh tradisi keilmuan Islam secara global. Penelitian ini secara konsisten menggunakan istilah kitab turats untuk merujuk pada objek kajian, sementara istilah “kitab kuning” tetap digunakan pada bagian yang merujuk langsung pada sumber yang memang memakai istilah tersebut.</w:t>
      </w:r>
    </w:p>
    <w:p>
      <w:pPr>
        <w:pStyle w:val="Heading4"/>
        <w:spacing w:after="100" w:before="200"/>
      </w:pPr>
      <w:r>
        <w:rPr>
          <w:b/>
          <w:bCs/>
          <w:sz w:val="22"/>
          <w:szCs w:val="22"/>
        </w:rPr>
        <w:t xml:space="preserve">c. Karakteristik Kitab Turats</w:t>
      </w:r>
    </w:p>
    <w:p>
      <w:pPr>
        <w:spacing w:after="200" w:line="360"/>
        <w:jc w:val="both"/>
      </w:pPr>
      <w:r>
        <w:t xml:space="preserve">Kemampuan menghadapi teks tanpa harakat merupakan salah satu kompetensi penting dalam sejumlah praktik pembelajaran kitab kuning di pesantren. Kajian Syaifudin et al. (2025), misalnya, secara eksplisit membahas kemampuan santri membaca unvocalized kitab serta penguasaan struktur morfologis dan sintaktis, termasuk dalam pemahaman kitab Fathul Qarib pada konteks penelitian mereka. Kajian tersebut juga menunjukkan adanya heterogenitas kemampuan santri yang memerlukan penyesuaian dalam pembelajaran. Penguasaan tata bahasa (grammar) berkaitan dengan kemampuan membaca kitab (qirā'at al-kutub) pada konteks mahasiswa (Ardiansyah, Musthafa, Syafei, &amp; Sanah, 2024).</w:t>
      </w:r>
    </w:p>
    <w:p>
      <w:pPr>
        <w:pStyle w:val="Heading4"/>
        <w:spacing w:after="100" w:before="200"/>
      </w:pPr>
      <w:r>
        <w:rPr>
          <w:b/>
          <w:bCs/>
          <w:sz w:val="22"/>
          <w:szCs w:val="22"/>
        </w:rPr>
        <w:t xml:space="preserve">d. Metode Pembelajaran Kitab Turats di Pesantren</w:t>
      </w:r>
    </w:p>
    <w:p>
      <w:pPr>
        <w:spacing w:after="200" w:line="360"/>
        <w:jc w:val="both"/>
      </w:pPr>
      <w:r>
        <w:t xml:space="preserve">Pembelajaran kitab turats dalam tradisi pesantren berlangsung melalui berbagai bentuk transmisi keilmuan, di antaranya sorogan, bandongan, mudzakarah, muhafadzah, talaqqi, dan halaqah (Arif, Harun, &amp; Nor Abd Aziz, 2023). Bandongan juga dikenal dengan istilah wetonan dalam sebagian literatur pembelajaran pesantren, meskipun penyebutan tersebut tidak diasumsikan seragam pada seluruh pesantren (Arif, Harun, &amp; Nor Abd Aziz, 2023). Sorogan dan bandongan dibahas sebagai mekanisme penting dalam transmisi keilmuan pesantren yang berkaitan dengan relasi kiai-santri dan tradisi otoritas keilmuan (Cahyadi, Yunani, Dachlan, &amp; Suhendra, 2025). Kajian sistematis juga menemukan adanya perkembangan dan kombinasi antara metode tradisional tersebut dengan metode yang lebih baru dalam pembelajaran kitab kuning (Arif, Harun, &amp; Nor Abd Aziz, 2023).</w:t>
      </w:r>
    </w:p>
    <w:p>
      <w:pPr>
        <w:pStyle w:val="Heading4"/>
        <w:spacing w:after="100" w:before="200"/>
      </w:pPr>
      <w:r>
        <w:rPr>
          <w:b/>
          <w:bCs/>
          <w:sz w:val="22"/>
          <w:szCs w:val="22"/>
        </w:rPr>
        <w:t xml:space="preserve">e. Fungsi Kitab Turats dalam Pendidikan Pesantren</w:t>
      </w:r>
    </w:p>
    <w:p>
      <w:pPr>
        <w:spacing w:after="200" w:line="360"/>
        <w:jc w:val="both"/>
      </w:pPr>
      <w:r>
        <w:t xml:space="preserve">Kitab turats berfungsi sebagai sumber pembelajaran keislaman, bagian dari transmisi tradisi keilmuan pesantren, serta medium interaksi santri dengan literatur Islam klasik (Amrullah &amp; Mutholingah, 2025; Arif, Nasir, &amp; Ma'arif, 2025; Arif, Harun, &amp; Nor Abd Aziz, 2023). Kitab turats dipahami sebagai salah satu unsur penting dalam pendidikan pesantren, tanpa diposisikan sebagai satu-satunya sumber pendidikan yang berlangsung di pesantren.</w:t>
      </w:r>
    </w:p>
    <w:p>
      <w:pPr>
        <w:pStyle w:val="Heading4"/>
        <w:spacing w:after="100" w:before="200"/>
      </w:pPr>
      <w:r>
        <w:rPr>
          <w:b/>
          <w:bCs/>
          <w:sz w:val="22"/>
          <w:szCs w:val="22"/>
        </w:rPr>
        <w:t xml:space="preserve">f. Kitab Turats dan Pembelajaran Bahasa Arab</w:t>
      </w:r>
    </w:p>
    <w:p>
      <w:pPr>
        <w:spacing w:after="200" w:line="360"/>
        <w:jc w:val="both"/>
      </w:pPr>
      <w:r>
        <w:t xml:space="preserve">Pembelajaran kitab turats berkaitan dengan penguasaan struktur tata bahasa Arab (nahwu-sharaf/grammar) yang mendukung pemahaman makna teks dan kemampuan membaca kitab (qirā'at al-kutub) (Ardiansyah, Musthafa, Syafei, &amp; Sanah, 2024; Syaifudin, Musadad, Fauzi, Zahro, Nahidloh, &amp; Pujiati, 2025). Kajian-kajian tersebut menekankan keterkaitan antara penguasaan gramatikal dan kemampuan membaca kitab, sehingga dalam penelitian ini fokus pembahasan diarahkan pada maharah qira'ah, tanpa mengasumsikan bahwa pembelajaran kitab turats secara otomatis turut mengembangkan keempat maharah bahasa Arab secara keseluruhan.</w:t>
      </w:r>
    </w:p>
    <w:p>
      <w:pPr>
        <w:pStyle w:val="Heading4"/>
        <w:spacing w:after="100" w:before="200"/>
      </w:pPr>
      <w:r>
        <w:rPr>
          <w:b/>
          <w:bCs/>
          <w:sz w:val="22"/>
          <w:szCs w:val="22"/>
        </w:rPr>
        <w:t xml:space="preserve">g. Tantangan dalam Pembelajaran Kitab Turats</w:t>
      </w:r>
    </w:p>
    <w:p>
      <w:pPr>
        <w:spacing w:after="200" w:line="360"/>
        <w:jc w:val="both"/>
      </w:pPr>
      <w:r>
        <w:t xml:space="preserve">Heterogenitas kemampuan santri dan kompleksitas pembacaan teks klasik, termasuk teks tanpa harakat serta tuntutan penguasaan struktur bahasa, dapat menimbulkan kebutuhan akan penyesuaian pembelajaran dan latihan yang berkelanjutan. Dalam konteks penelitian Syaifudin et al. (2025), heterogenitas kemampuan menjadi salah satu tantangan yang direspons melalui penyesuaian proses pembelajaran. Kajian lain mengenai program percepatan membaca kitab kuning juga menunjukkan adanya variasi respons santri, termasuk bentuk negosiasi dan resistensi terhadap target maupun tata kelola program (Muhlis et al., 2025). Temuan dari penelitian-penelitian tersebut digunakan sebagai ilustrasi keragaman tantangan pembelajaran kitab, bukan sebagai gambaran langsung kondisi dua situs penelitian ini.</w:t>
      </w:r>
    </w:p>
    <w:p>
      <w:pPr>
        <w:pStyle w:val="Heading4"/>
        <w:spacing w:after="100" w:before="200"/>
      </w:pPr>
      <w:r>
        <w:rPr>
          <w:b/>
          <w:bCs/>
          <w:sz w:val="22"/>
          <w:szCs w:val="22"/>
        </w:rPr>
        <w:t xml:space="preserve">h. Sintesis Konseptual Kitab Turats dalam Penelitian Ini</w:t>
      </w:r>
    </w:p>
    <w:p>
      <w:pPr>
        <w:spacing w:after="200" w:line="360"/>
        <w:jc w:val="both"/>
      </w:pPr>
      <w:r>
        <w:t xml:space="preserve">Dalam penelitian ini, kitab turats dipahami sekaligus sebagai objek minat belajar santri, objek praktik membaca, dan konteks pengembangan maharah qira'ah. Lingkungan pembelajaran pesantren dipahami dapat menyediakan kesempatan bagi santri untuk berinteraksi dengan kitab turats melalui berbagai aktivitas akademik, sosial, dan religius. Interaksi tersebut kemudian dibaca dalam kaitannya dengan minat dan perkembangan kemampuan membaca, tanpa mengasumsikan adanya hubungan kausal otomatis antara lingkungan, minat, dan maharah qira'ah.</w:t>
      </w:r>
    </w:p>
    <w:p>
      <w:pPr>
        <w:pStyle w:val="Heading3"/>
        <w:spacing w:after="150" w:before="300"/>
      </w:pPr>
      <w:r>
        <w:rPr>
          <w:b/>
          <w:bCs/>
          <w:sz w:val="24"/>
          <w:szCs w:val="24"/>
        </w:rPr>
        <w:t xml:space="preserve">4. Pesantren</w:t>
      </w:r>
    </w:p>
    <w:p>
      <w:pPr>
        <w:pStyle w:val="Heading4"/>
        <w:spacing w:after="100" w:before="200"/>
      </w:pPr>
      <w:r>
        <w:rPr>
          <w:b/>
          <w:bCs/>
          <w:sz w:val="22"/>
          <w:szCs w:val="22"/>
        </w:rPr>
        <w:t xml:space="preserve">a. Konsep Pesantren</w:t>
      </w:r>
    </w:p>
    <w:p>
      <w:pPr>
        <w:spacing w:after="200" w:line="360"/>
        <w:jc w:val="both"/>
      </w:pPr>
      <w:r>
        <w:t xml:space="preserve">Pesantren dipahami sebagai institusi pendidikan Islam yang mengintegrasikan dimensi intelektual dan spiritual dalam satu kesatuan proses pendidikan (Budiman, Anwar, Zarkasyi, &amp; Lateh, 2025). Secara historis dan filosofis, pesantren berkembang sebagai lembaga yang membentuk kurikulum dan metodologi pendidikannya sendiri melalui tradisi keilmuan yang diwariskan secara berkelanjutan (Budiman, Anwar, Zarkasyi, &amp; Lateh, 2025). Dalam formulasi klasik Dhofier (2011), pesantren dipahami sebagai lembaga pendidikan Islam tradisional Indonesia dengan sejumlah unsur yang menyertainya, sebagaimana ditelaah lebih lanjut pada bagian berikut.</w:t>
      </w:r>
    </w:p>
    <w:p>
      <w:pPr>
        <w:pStyle w:val="Heading4"/>
        <w:spacing w:after="100" w:before="200"/>
      </w:pPr>
      <w:r>
        <w:rPr>
          <w:b/>
          <w:bCs/>
          <w:sz w:val="22"/>
          <w:szCs w:val="22"/>
        </w:rPr>
        <w:t xml:space="preserve">b. Unsur dan Aktor Pendidikan Pesantren</w:t>
      </w:r>
    </w:p>
    <w:p>
      <w:pPr>
        <w:spacing w:after="200" w:line="360"/>
        <w:jc w:val="both"/>
      </w:pPr>
      <w:r>
        <w:t xml:space="preserve">Dalam formulasi klasik Dhofier (2011), pesantren umumnya ditandai oleh keberadaan kiai, santri, pondok/asrama, masjid, dan pengajaran kitab. Kiai memiliki posisi sentral sebagai pengasuh sekaligus figur otoritatif dalam transmisi keilmuan, sedangkan santri berperan sebagai peserta didik yang menjalani kehidupan belajar sekaligus kehidupan berasrama. Unsur-unsur tersebut tidak diposisikan sebagai definisi universal yang berlaku identik pada seluruh bentuk pesantren kontemporer, mengingat variasi kelembagaan yang terus berkembang.</w:t>
      </w:r>
    </w:p>
    <w:p>
      <w:pPr>
        <w:pStyle w:val="Heading4"/>
        <w:spacing w:after="100" w:before="200"/>
      </w:pPr>
      <w:r>
        <w:rPr>
          <w:b/>
          <w:bCs/>
          <w:sz w:val="22"/>
          <w:szCs w:val="22"/>
        </w:rPr>
        <w:t xml:space="preserve">c. Pesantren sebagai Konteks Pendidikan Berasrama</w:t>
      </w:r>
    </w:p>
    <w:p>
      <w:pPr>
        <w:spacing w:after="200" w:line="360"/>
        <w:jc w:val="both"/>
      </w:pPr>
      <w:r>
        <w:t xml:space="preserve">Pada pesantren berasrama, kehidupan pendidikan dapat melampaui jam pengajian formal melalui kehidupan asrama, kegiatan religius, interaksi sosial, dan rutinitas kelembagaan. Dalam salah satu konteks pendidikan berasrama, integrasi antara kegiatan di kelas, asrama, dan lingkungan lembaga dapat memperluas ruang belajar peserta didik melampaui pembelajaran kelas semata (Febriani, Asrori, &amp; Sutaman, 2025). Dalam penelitian ini, karakter berasrama dipandang sebagai salah satu konteks kelembagaan yang memungkinkan aktivitas pendidikan berlangsung melalui ruang dan waktu yang lebih luas daripada pembelajaran formal di kelas.</w:t>
      </w:r>
    </w:p>
    <w:p>
      <w:pPr>
        <w:pStyle w:val="Heading4"/>
        <w:spacing w:after="100" w:before="200"/>
      </w:pPr>
      <w:r>
        <w:rPr>
          <w:b/>
          <w:bCs/>
          <w:sz w:val="22"/>
          <w:szCs w:val="22"/>
        </w:rPr>
        <w:t xml:space="preserve">d. Budaya dan Tradisi Keilmuan Pesantren</w:t>
      </w:r>
    </w:p>
    <w:p>
      <w:pPr>
        <w:spacing w:after="200" w:line="360"/>
        <w:jc w:val="both"/>
      </w:pPr>
      <w:r>
        <w:t xml:space="preserve">Pesantren memiliki tradisi transmisi keilmuan yang khas, termasuk konsep sanad dan relasi kiai-santri yang berkaitan dengan pembentukan otoritas intelektual melalui sorogan dan bandongan (Cahyadi, Yunani, Dachlan, &amp; Suhendra, 2025). Budaya pesantren, yang mencakup pengajian, kegiatan religius, dan hubungan interpersonal, berkaitan dengan kehidupan akademik pada konteks penelitian tertentu (Nashihin, Majeed, Derysmono, Armadi, &amp; Syukur, 2025), tanpa diasumsikan bahwa budaya pesantren dengan sendirinya menghasilkan capaian akademik tertentu.</w:t>
      </w:r>
    </w:p>
    <w:p>
      <w:pPr>
        <w:pStyle w:val="Heading4"/>
        <w:spacing w:after="100" w:before="200"/>
      </w:pPr>
      <w:r>
        <w:rPr>
          <w:b/>
          <w:bCs/>
          <w:sz w:val="22"/>
          <w:szCs w:val="22"/>
        </w:rPr>
        <w:t xml:space="preserve">e. Kontinuitas dan Adaptasi Pendidikan Pesantren</w:t>
      </w:r>
    </w:p>
    <w:p>
      <w:pPr>
        <w:spacing w:after="200" w:line="360"/>
        <w:jc w:val="both"/>
      </w:pPr>
      <w:r>
        <w:t xml:space="preserve">Pesantren menunjukkan kontinuitas tradisi keilmuan sekaligus adaptasi terhadap kebutuhan pedagogis kontemporer. Kajian pada Pesantren Sidogiri menunjukkan bahwa pembelajaran kitab turats mempertahankan struktur kegiatan tradisional sembari memberikan fleksibilitas pedagogis kepada pengajar, mencerminkan upaya memadukan tradisi dan kebutuhan pedagogis kontemporer (Amrullah &amp; Mutholingah, 2025). Integrasi nilai-nilai Islam dalam kurikulum dan praktik kelembagaan juga menjadi salah satu bentuk adaptasi pendidikan pesantren pada konteks tertentu (Syukri, Amir, Fitriani, &amp; Pane, 2024). Kontinuitas dan perubahan dalam pendidikan pesantren dipahami sebagai variasi kelembagaan, bukan sebagai hierarki kualitas antara pesantren yang dianggap tradisional dan yang dianggap modern.</w:t>
      </w:r>
    </w:p>
    <w:p>
      <w:pPr>
        <w:pStyle w:val="Heading4"/>
        <w:spacing w:after="100" w:before="200"/>
      </w:pPr>
      <w:r>
        <w:rPr>
          <w:b/>
          <w:bCs/>
          <w:sz w:val="22"/>
          <w:szCs w:val="22"/>
        </w:rPr>
        <w:t xml:space="preserve">f. Sintesis Konseptual Pesantren dalam Penelitian Ini</w:t>
      </w:r>
    </w:p>
    <w:p>
      <w:pPr>
        <w:spacing w:after="200" w:line="360"/>
        <w:jc w:val="both"/>
      </w:pPr>
      <w:r>
        <w:t xml:space="preserve">Dalam penelitian ini, pesantren dipahami sebagai konteks institusional yang mengintegrasikan dimensi intelektual dan spiritual, memiliki unsur dan aktor pendidikan yang khas, berlangsung dalam kehidupan berasrama, serta menjalankan tradisi keilmuan yang terus mengalami kontinuitas sekaligus adaptasi. Pemahaman tersebut menjadi konteks kelembagaan bagi telaah lingkungan pembelajaran, strategi lingkungan, minat belajar kitab turats, dan maharah qira'ah pada bagian-bagian berikutnya.</w:t>
      </w:r>
    </w:p>
    <w:p>
      <w:pPr>
        <w:pStyle w:val="Heading3"/>
        <w:spacing w:after="150" w:before="300"/>
      </w:pPr>
      <w:r>
        <w:rPr>
          <w:b/>
          <w:bCs/>
          <w:sz w:val="24"/>
          <w:szCs w:val="24"/>
        </w:rPr>
        <w:t xml:space="preserve">5. Strategi Lingkungan Pembelajaran Pesantren dalam Meningkatkan Minat Belajar Kitab Turats</w:t>
      </w:r>
    </w:p>
    <w:p>
      <w:pPr>
        <w:pStyle w:val="Heading4"/>
        <w:spacing w:after="100" w:before="200"/>
      </w:pPr>
      <w:r>
        <w:rPr>
          <w:b/>
          <w:bCs/>
          <w:sz w:val="22"/>
          <w:szCs w:val="22"/>
        </w:rPr>
        <w:t xml:space="preserve">a. Konsep Strategi Lingkungan Pembelajaran Pesantren</w:t>
      </w:r>
    </w:p>
    <w:p>
      <w:pPr>
        <w:spacing w:after="200" w:line="360"/>
        <w:jc w:val="both"/>
      </w:pPr>
      <w:r>
        <w:t xml:space="preserve">Strategi lingkungan pembelajaran pesantren dalam penelitian ini dipahami sebagai upaya kelembagaan untuk membentuk, mengelola, memanfaatkan, dan mempertahankan kondisi fisik, akademik, sosial, dan religius dalam konteks budaya pesantren. Tidak semua kondisi lingkungan harus dipahami lahir dari desain formal yang disengaja; sebagian kondisi dapat terbentuk melalui rutinitas dan praktik kelembagaan yang berlangsung berkelanjutan.</w:t>
      </w:r>
    </w:p>
    <w:p>
      <w:pPr>
        <w:pStyle w:val="Heading4"/>
        <w:spacing w:after="100" w:before="200"/>
      </w:pPr>
      <w:r>
        <w:rPr>
          <w:b/>
          <w:bCs/>
          <w:sz w:val="22"/>
          <w:szCs w:val="22"/>
        </w:rPr>
        <w:t xml:space="preserve">b. Pembentukan Budaya Akademik</w:t>
      </w:r>
    </w:p>
    <w:p>
      <w:pPr>
        <w:spacing w:after="200" w:line="360"/>
        <w:jc w:val="both"/>
      </w:pPr>
      <w:r>
        <w:t xml:space="preserve">Budaya akademik pesantren berkaitan dengan struktur pembelajaran kitab turats yang memberikan ruang bagi kontinuitas tradisi maupun adaptasi pedagogis (Amrullah &amp; Mutholingah, 2025), tradisi transmisi keilmuan melalui sorogan dan bandongan (Cahyadi, Yunani, Dachlan, &amp; Suhendra, 2025), integrasi kegiatan formal dan nonformal dalam lembaga berasrama (Febriani, Asrori, &amp; Sutaman, 2025), variasi metode pembelajaran kitab (Arif, Harun, &amp; Nor Abd Aziz, 2023), serta bentuk-bentuk pendampingan literasi seperti pengenalan referensi dan penugasan review (Ilmiani, Miolo, Hunainah, &amp; Maghfurin, 2022).</w:t>
      </w:r>
    </w:p>
    <w:p>
      <w:pPr>
        <w:pStyle w:val="Heading4"/>
        <w:spacing w:after="100" w:before="200"/>
      </w:pPr>
      <w:r>
        <w:rPr>
          <w:b/>
          <w:bCs/>
          <w:sz w:val="22"/>
          <w:szCs w:val="22"/>
        </w:rPr>
        <w:t xml:space="preserve">c. Pembentukan Lingkungan Religius</w:t>
      </w:r>
    </w:p>
    <w:p>
      <w:pPr>
        <w:spacing w:after="200" w:line="360"/>
        <w:jc w:val="both"/>
      </w:pPr>
      <w:r>
        <w:t xml:space="preserve">Lingkungan religius pesantren berkaitan dengan pengajian, kegiatan religius, dan hubungan interpersonal yang menyertai kehidupan akademik (Nashihin, Majeed, Derysmono, Armadi, &amp; Syukur, 2025), serta integrasi nilai-nilai Islam melalui kurikulum dan praktik kelembagaan (Syukri, Amir, Fitriani, &amp; Pane, 2024). Nilai thalab al-'ilm berkaitan dengan internalisasi nilai religius dalam pemaknaan belajar (Ramadhan, Santosa, Ahmad, &amp; Abror, 2026); penelitian tersebut menemukan adanya kemungkinan kesenjangan antara kesadaran religius dan perilaku akademik, sehingga tidak ditulis bahwa nilai religius secara otomatis membuat santri rajin belajar.</w:t>
      </w:r>
    </w:p>
    <w:p>
      <w:pPr>
        <w:pStyle w:val="Heading4"/>
        <w:spacing w:after="100" w:before="200"/>
      </w:pPr>
      <w:r>
        <w:rPr>
          <w:b/>
          <w:bCs/>
          <w:sz w:val="22"/>
          <w:szCs w:val="22"/>
        </w:rPr>
        <w:t xml:space="preserve">d. Pembiasaan dan Kedisiplinan Belajar</w:t>
      </w:r>
    </w:p>
    <w:p>
      <w:pPr>
        <w:spacing w:after="200" w:line="360"/>
        <w:jc w:val="both"/>
      </w:pPr>
      <w:r>
        <w:t xml:space="preserve">Pembiasaan dan kedisiplinan berkaitan dengan struktur kegiatan pembelajaran kitab yang tetap memberi ruang fleksibilitas pedagogis (Amrullah &amp; Mutholingah, 2025), budaya dan kultur pesantren yang menyertai kehidupan akademik (Nashihin, Majeed, Derysmono, Armadi, &amp; Syukur, 2025), serta pengaturan waktu dan aktivitas dalam integrasi kegiatan formal-nonformal (Febriani, Asrori, &amp; Sutaman, 2025). Pembiasaan dan kedisiplinan dipahami sebagai struktur dan kebiasaan belajar yang menyertai kehidupan pesantren, tanpa diasumsikan bahwa kedisiplinan secara otomatis menghasilkan minat belajar.</w:t>
      </w:r>
    </w:p>
    <w:p>
      <w:pPr>
        <w:pStyle w:val="Heading4"/>
        <w:spacing w:after="100" w:before="200"/>
      </w:pPr>
      <w:r>
        <w:rPr>
          <w:b/>
          <w:bCs/>
          <w:sz w:val="22"/>
          <w:szCs w:val="22"/>
        </w:rPr>
        <w:t xml:space="preserve">e. Keteladanan dan Pendampingan Pengasuh/Ustaz</w:t>
      </w:r>
    </w:p>
    <w:p>
      <w:pPr>
        <w:spacing w:after="200" w:line="360"/>
        <w:jc w:val="both"/>
      </w:pPr>
      <w:r>
        <w:t xml:space="preserve">Dukungan pendidik, mencakup dukungan informasional, instrumental, appraisal (umpan balik/evaluatif), dan emosional, diasosiasikan dengan keterlibatan peserta didik dalam pembelajaran (Vargas-Madriz, Konishi, &amp; Wong, 2024). Relasi kiai-santri dalam tradisi sorogan dan bandongan juga berkaitan dengan pembentukan otoritas keilmuan yang menyertai proses pembimbingan (Cahyadi, Yunani, Dachlan, &amp; Suhendra, 2025), sementara budaya dan kultur pesantren turut menyertai hubungan interpersonal antara pengasuh/ustaz dan santri (Nashihin, Majeed, Derysmono, Armadi, &amp; Syukur, 2025). Keteladanan dan pendampingan dipahami sebagai kondisi sosial-pedagogis yang menyertai proses belajar, tanpa disamakan dengan hubungan sebab-akibat yang pasti.</w:t>
      </w:r>
    </w:p>
    <w:p>
      <w:pPr>
        <w:pStyle w:val="Heading4"/>
        <w:spacing w:after="100" w:before="200"/>
      </w:pPr>
      <w:r>
        <w:rPr>
          <w:b/>
          <w:bCs/>
          <w:sz w:val="22"/>
          <w:szCs w:val="22"/>
        </w:rPr>
        <w:t xml:space="preserve">f. Pengembangan Interaksi Sosial dan Peer Learning</w:t>
      </w:r>
    </w:p>
    <w:p>
      <w:pPr>
        <w:spacing w:after="200" w:line="360"/>
        <w:jc w:val="both"/>
      </w:pPr>
      <w:r>
        <w:t xml:space="preserve">Interaksi sosial berkaitan dengan dukungan pendidik dan keterlibatan peserta didik (Vargas-Madriz, Konishi, &amp; Wong, 2024), serta relasi guru-peserta didik dan interaksi sosial dalam lingkungan belajar (Li &amp; Xue, 2023). Budaya dan kultur pesantren turut menyertai hubungan interpersonal di antara warga pesantren (Nashihin, Majeed, Derysmono, Armadi, &amp; Syukur, 2025), sementara relasi kiai-santri menjadi bagian dari tradisi transmisi keilmuan yang bersifat interaktif (Cahyadi, Yunani, Dachlan, &amp; Suhendra, 2025). Peer learning secara konseptual merujuk pada bentuk pembelajaran yang melibatkan dukungan dan interaksi antarpeserta didik dalam proses akademik. Meta-analisis Bengesai, Amusa, dan Dhunpath (2023) menunjukkan bahwa peer learning telah digunakan sebagai bentuk dukungan belajar formal pada pendidikan tinggi. Kajian tersebut digunakan di sini hanya sebagai penguat konseptual mengenai pembelajaran antarteman, bukan sebagai bukti bahwa peer learning pada pesantren penelitian ini menghasilkan efek tertentu. Interaksi sosial dan peer learning dipahami sebagai dukungan dan kesempatan berinteraksi yang menyertai proses belajar santri.</w:t>
      </w:r>
    </w:p>
    <w:p>
      <w:pPr>
        <w:pStyle w:val="Heading4"/>
        <w:spacing w:after="100" w:before="200"/>
      </w:pPr>
      <w:r>
        <w:rPr>
          <w:b/>
          <w:bCs/>
          <w:sz w:val="22"/>
          <w:szCs w:val="22"/>
        </w:rPr>
        <w:t xml:space="preserve">g. Penyediaan dan Pemanfaatan Sarana Pembelajaran</w:t>
      </w:r>
    </w:p>
    <w:p>
      <w:pPr>
        <w:spacing w:after="200" w:line="360"/>
        <w:jc w:val="both"/>
      </w:pPr>
      <w:r>
        <w:t xml:space="preserve">Kondisi lingkungan fisik, mencakup kenyamanan, pencahayaan, dan akustik, berkaitan dengan pengalaman belajar peserta didik (Villarreal Arroyo, Peñabaena-Niebles, &amp; Berdugo Correa, 2023), sedangkan sumber belajar turut menjadi salah satu faktor yang berkaitan dengan keterlibatan peserta didik (Li &amp; Xue, 2023). Fokus pembahasan diarahkan pada akses dan pemanfaatan sarana pembelajaran, bukan pada kemewahan fasilitas fisik semata.</w:t>
      </w:r>
    </w:p>
    <w:p>
      <w:pPr>
        <w:pStyle w:val="Heading4"/>
        <w:spacing w:after="100" w:before="200"/>
      </w:pPr>
      <w:r>
        <w:rPr>
          <w:b/>
          <w:bCs/>
          <w:sz w:val="22"/>
          <w:szCs w:val="22"/>
        </w:rPr>
        <w:t xml:space="preserve">h. Pengembangan Kegiatan Keilmuan</w:t>
      </w:r>
    </w:p>
    <w:p>
      <w:pPr>
        <w:spacing w:after="200" w:line="360"/>
        <w:jc w:val="both"/>
      </w:pPr>
      <w:r>
        <w:t xml:space="preserve">Kegiatan keilmuan berkaitan dengan struktur dan pelaksanaan pembelajaran kitab turats (Amrullah &amp; Mutholingah, 2025), variasi metode pembelajaran kitab seperti sorogan, bandongan, mudzakarah, muhafadzah, talaqqi, dan halaqah (Arif, Harun, &amp; Nor Abd Aziz, 2023), bentuk-bentuk pendampingan literasi seperti pengenalan referensi dan penugasan review (Ilmiani, Miolo, Hunainah, &amp; Maghfurin, 2022), serta tradisi transmisi keilmuan pesantren (Cahyadi, Yunani, Dachlan, &amp; Suhendra, 2025). Secara konseptual, kegiatan keilmuan dapat berlangsung melalui aktivitas pembacaan, diskusi, mudzakarah, halaqah, dan bentuk interaksi akademik lain yang memberi kesempatan kepada peserta didik untuk berinteraksi dengan teks dan sesama pembelajar (Arif, Harun, &amp; Nor Abd Aziz, 2023).</w:t>
      </w:r>
    </w:p>
    <w:p>
      <w:pPr>
        <w:pStyle w:val="Heading4"/>
        <w:spacing w:after="100" w:before="200"/>
      </w:pPr>
      <w:r>
        <w:rPr>
          <w:b/>
          <w:bCs/>
          <w:sz w:val="22"/>
          <w:szCs w:val="22"/>
        </w:rPr>
        <w:t xml:space="preserve">i. Integrasi Empat Dimensi Lingkungan dalam Strategi Pesantren</w:t>
      </w:r>
    </w:p>
    <w:p>
      <w:pPr>
        <w:spacing w:after="200" w:line="360"/>
        <w:jc w:val="both"/>
      </w:pPr>
      <w:r>
        <w:t xml:space="preserve">Secara konseptual, keterkaitan antardimensi memungkinkan strategi lingkungan dipahami sebagai konfigurasi antara ruang, sistem, aktor, nilai, kebiasaan, dan aktivitas belajar. Dimensi fisik, akademik, sosial, dan religius saling berkaitan dalam praktik kelembagaan pesantren, dengan budaya pesantren berfungsi sebagai konteks yang melintasi keempat dimensi tersebut, bukan sebagai dimensi kelima yang berdiri sendiri.</w:t>
      </w:r>
    </w:p>
    <w:p>
      <w:pPr>
        <w:pStyle w:val="Heading4"/>
        <w:spacing w:after="100" w:before="200"/>
      </w:pPr>
      <w:r>
        <w:rPr>
          <w:b/>
          <w:bCs/>
          <w:sz w:val="22"/>
          <w:szCs w:val="22"/>
        </w:rPr>
        <w:t xml:space="preserve">j. Keterkaitan Strategi Lingkungan dengan Minat Belajar Kitab Turats</w:t>
      </w:r>
    </w:p>
    <w:p>
      <w:pPr>
        <w:spacing w:after="200" w:line="360"/>
        <w:jc w:val="both"/>
      </w:pPr>
      <w:r>
        <w:t xml:space="preserve">Strategi dapat menyediakan kondisi dan kesempatan yang secara konseptual berkaitan dengan ketertarikan dan keterlibatan santri. Kondisi dan aktivitas pembelajaran tertentu, seperti relevansi, variasi, aktivasi kognitif, interaksi sosial, aktivitas langsung, dan ketersediaan pilihan, berkaitan dengan munculnya situational interest dalam konteks pembelajaran (Guo &amp; Fryer, 2025). Keterkaitan tersebut dipahami sebagai hubungan konseptual, bukan hubungan kausal deterministik.</w:t>
      </w:r>
    </w:p>
    <w:p>
      <w:pPr>
        <w:pStyle w:val="Heading4"/>
        <w:spacing w:after="100" w:before="200"/>
      </w:pPr>
      <w:r>
        <w:rPr>
          <w:b/>
          <w:bCs/>
          <w:sz w:val="22"/>
          <w:szCs w:val="22"/>
        </w:rPr>
        <w:t xml:space="preserve">k. Faktor Pendukung dan Penghambat Strategi Lingkungan Pembelajaran</w:t>
      </w:r>
    </w:p>
    <w:p>
      <w:pPr>
        <w:spacing w:after="200" w:line="360"/>
        <w:jc w:val="both"/>
      </w:pPr>
      <w:r>
        <w:t xml:space="preserve">Faktor pendukung dan penghambat merupakan kategori konseptual, bukan daftar hasil penelitian. Dukungan pendidik (Vargas-Madriz, Konishi, &amp; Wong, 2024) dan dukungan lingkungan/sumber belajar (Li &amp; Xue, 2023) dapat berkaitan dengan pelaksanaan strategi sebagai faktor pendukung. Kondisi fasilitas fisik (Villarreal Arroyo, Peñabaena-Niebles, &amp; Berdugo Correa, 2023), struktur program dan pengaturan waktu (Febriani, Asrori, &amp; Sutaman, 2025), serta heterogenitas kemampuan santri (Syaifudin, Musadad, Fauzi, Zahro, Nahidloh, &amp; Pujiati, 2025) dapat menjadi kondisi yang berkaitan dengan pelaksanaan strategi, baik sebagai faktor pendukung maupun penghambat tergantung konteksnya. Pada konteks pendidikan berasrama secara umum, keterlibatan santri dengan media sosial turut menjadi salah satu kondisi kontekstual yang dapat berkaitan dengan pengelolaan diri santri (Mirawati, Tjahjono, Hamami, &amp; Suud, 2025), tanpa diasumsikan bahwa seluruh santri mengalami kondisi tersebut atau bahwa gadget merupakan hambatan universal. Tidak seluruh faktor tersebut harus dipaksakan muncul pada data lapangan.</w:t>
      </w:r>
    </w:p>
    <w:p>
      <w:pPr>
        <w:pStyle w:val="Heading4"/>
        <w:spacing w:after="100" w:before="200"/>
      </w:pPr>
      <w:r>
        <w:rPr>
          <w:b/>
          <w:bCs/>
          <w:sz w:val="22"/>
          <w:szCs w:val="22"/>
        </w:rPr>
        <w:t xml:space="preserve">l. Sintesis Strategi Lingkungan Pembelajaran dalam Penelitian Ini</w:t>
      </w:r>
    </w:p>
    <w:p>
      <w:pPr>
        <w:spacing w:after="200" w:line="360"/>
        <w:jc w:val="both"/>
      </w:pPr>
      <w:r>
        <w:t xml:space="preserve">Berdasarkan sintesis literatur, penelitian ini menggunakan tujuh kategori konseptual awal untuk membaca strategi lingkungan pembelajaran pesantren, yaitu pembentukan budaya akademik, pembentukan lingkungan religius, pembiasaan dan kedisiplinan belajar, keteladanan dan pendampingan pengasuh/ustaz, pengembangan interaksi sosial dan peer learning, penyediaan dan pemanfaatan sarana pembelajaran, serta pengembangan kegiatan keilmuan. Ketujuh kategori tersebut merupakan sintesis konseptual peneliti berdasarkan literatur, bukan tujuh strategi yang dirumuskan secara persis oleh satu ahli. Kategori tersebut digunakan secara terbuka dalam analisis sehingga data lapangan tidak dipaksakan mengikuti klasifikasi yang bersifat tetap; variasi empiris dapat memperkuat, memodifikasi, menggabungkan, atau menunjukkan konfigurasi yang berbeda dari kategori konseptual awal.</w:t>
      </w:r>
    </w:p>
    <w:p>
      <w:pPr>
        <w:pStyle w:val="Heading3"/>
        <w:spacing w:after="150" w:before="300"/>
      </w:pPr>
      <w:r>
        <w:rPr>
          <w:b/>
          <w:bCs/>
          <w:sz w:val="24"/>
          <w:szCs w:val="24"/>
        </w:rPr>
        <w:t xml:space="preserve">6. Maharah Qira'ah</w:t>
      </w:r>
    </w:p>
    <w:p>
      <w:pPr>
        <w:pStyle w:val="Heading4"/>
        <w:spacing w:after="100" w:before="200"/>
      </w:pPr>
      <w:r>
        <w:rPr>
          <w:b/>
          <w:bCs/>
          <w:sz w:val="22"/>
          <w:szCs w:val="22"/>
        </w:rPr>
        <w:t xml:space="preserve">a. Konsep Maharah Qira'ah</w:t>
      </w:r>
    </w:p>
    <w:p>
      <w:pPr>
        <w:spacing w:after="200" w:line="360"/>
        <w:jc w:val="both"/>
      </w:pPr>
      <w:r>
        <w:t xml:space="preserve">Maharah qira'ah dipahami tidak sekadar sebagai kemampuan pelafalan, melainkan sebagai kemampuan membaca yang disertai pemahaman terhadap isi bacaan (Shalihah, Nisa, &amp; Yani, 2023). Konsep tersebut mencakup kemampuan membaca dengan tepat sekaligus memahami makna teks yang dibaca (Shalihah, Nisa, &amp; Yani, 2023; Syafei, Suleman, &amp; Rohanda, 2024).</w:t>
      </w:r>
    </w:p>
    <w:p>
      <w:pPr>
        <w:pStyle w:val="Heading4"/>
        <w:spacing w:after="100" w:before="200"/>
      </w:pPr>
      <w:r>
        <w:rPr>
          <w:b/>
          <w:bCs/>
          <w:sz w:val="22"/>
          <w:szCs w:val="22"/>
        </w:rPr>
        <w:t xml:space="preserve">b. Tujuan Pembelajaran Maharah Qira'ah</w:t>
      </w:r>
    </w:p>
    <w:p>
      <w:pPr>
        <w:spacing w:after="200" w:line="360"/>
        <w:jc w:val="both"/>
      </w:pPr>
      <w:r>
        <w:t xml:space="preserve">Tujuan pembelajaran maharah qira'ah yang relevan dalam penelitian ini mencakup ketepatan membaca, pemahaman terhadap makna teks, perolehan informasi dari bacaan, serta kemampuan menghadapi teks berbahasa Arab, termasuk teks klasik keislaman (Syafei, Suleman, &amp; Rohanda, 2024; Shalihah, Nisa, &amp; Yani, 2023).</w:t>
      </w:r>
    </w:p>
    <w:p>
      <w:pPr>
        <w:pStyle w:val="Heading4"/>
        <w:spacing w:after="100" w:before="200"/>
      </w:pPr>
      <w:r>
        <w:rPr>
          <w:b/>
          <w:bCs/>
          <w:sz w:val="22"/>
          <w:szCs w:val="22"/>
        </w:rPr>
        <w:t xml:space="preserve">c. Jenis-Jenis Membaca dalam Pembelajaran Bahasa Arab</w:t>
      </w:r>
    </w:p>
    <w:p>
      <w:pPr>
        <w:spacing w:after="200" w:line="360"/>
        <w:jc w:val="both"/>
      </w:pPr>
      <w:r>
        <w:t xml:space="preserve">Pembelajaran bahasa Arab mengenal variasi aktivitas membaca, antara lain membaca bersuara (qira'ah jahriyyah) dan membaca senyap/dalam hati (qira'ah shamitah). Kajian Ridwan, Alim, dan Alkattini (2024) memberikan contoh penerapan qira'ah jahriyyah dengan penekanan pada ketepatan dan kelancaran pelafalan serta pemahaman bacaan. Dalam penelitian ini, klasifikasi jenis membaca hanya ditempatkan sebagai konteks pedagogis umum dan tidak digunakan sebagai kategori analisis maharah qira'ah.</w:t>
      </w:r>
    </w:p>
    <w:p>
      <w:pPr>
        <w:pStyle w:val="Heading4"/>
        <w:spacing w:after="100" w:before="200"/>
      </w:pPr>
      <w:r>
        <w:rPr>
          <w:b/>
          <w:bCs/>
          <w:sz w:val="22"/>
          <w:szCs w:val="22"/>
        </w:rPr>
        <w:t xml:space="preserve">d. Unsur-Unsur Maharah Qira'ah</w:t>
      </w:r>
    </w:p>
    <w:p>
      <w:pPr>
        <w:spacing w:after="200" w:line="360"/>
        <w:jc w:val="both"/>
      </w:pPr>
      <w:r>
        <w:t xml:space="preserve">Unsur-unsur yang relevan dalam maharah qira'ah mencakup ketepatan membaca, penguasaan kosakata, penguasaan struktur/nahwu-sharaf, dan pemahaman makna. Pengetahuan metalinguistik, termasuk kesadaran morfologis, fonologis, dan pengetahuan ortografis, berkaitan dengan pemahaman membaca bahasa Arab (Bin Sawad, Law, Tibi, &amp; Boese, 2022). Penguasaan tata bahasa (grammar) berkaitan dengan kemampuan membaca kitab (qirā'at al-kutub) (Ardiansyah, Musthafa, Syafei, &amp; Sanah, 2024). Struktur morfologis dan sintaktis juga berkaitan dengan kemampuan membaca kitab tanpa harakat (Syaifudin, Musadad, Fauzi, Zahro, Nahidloh, &amp; Pujiati, 2025).</w:t>
      </w:r>
    </w:p>
    <w:p>
      <w:pPr>
        <w:pStyle w:val="Heading4"/>
        <w:spacing w:after="100" w:before="200"/>
      </w:pPr>
      <w:r>
        <w:rPr>
          <w:b/>
          <w:bCs/>
          <w:sz w:val="22"/>
          <w:szCs w:val="22"/>
        </w:rPr>
        <w:t xml:space="preserve">e. Faktor-Faktor yang Berkaitan dengan Maharah Qira'ah</w:t>
      </w:r>
    </w:p>
    <w:p>
      <w:pPr>
        <w:spacing w:after="200" w:line="360"/>
        <w:jc w:val="both"/>
      </w:pPr>
      <w:r>
        <w:t xml:space="preserve">Pengetahuan metalinguistik berkaitan dengan pemahaman membaca bahasa Arab, meskipun kajian tersebut terutama mencakup siswa jenjang kelas 1–12 sehingga tidak langsung disamakan dengan konteks santri pembaca kitab turats (Bin Sawad, Law, Tibi, &amp; Boese, 2022). Penguasaan tata bahasa berkaitan dengan kemampuan membaca kitab (Ardiansyah, Musthafa, Syafei, &amp; Sanah, 2024). Pengalaman dan model pembelajaran berkaitan dengan pengembangan keterampilan membaca kitab klasik pada konteks pesantren (Syafei, Suleman, &amp; Rohanda, 2024). Heterogenitas kemampuan santri berkaitan dengan kebutuhan penyesuaian pembelajaran membaca kitab (Syaifudin, Musadad, Fauzi, Zahro, Nahidloh, &amp; Pujiati, 2025). Dukungan pendidik dan kondisi lingkungan juga diasosiasikan dengan keterlibatan peserta didik dalam proses belajar secara umum (Vargas-Madriz, Konishi, &amp; Wong, 2024; Li &amp; Xue, 2023). Dalam penelitian ini, literatur tersebut digunakan sebagai konteks lingkungan belajar, bukan sebagai bukti langsung tentang kemampuan qira'ah.</w:t>
      </w:r>
    </w:p>
    <w:p>
      <w:pPr>
        <w:pStyle w:val="Heading4"/>
        <w:spacing w:after="100" w:before="200"/>
      </w:pPr>
      <w:r>
        <w:rPr>
          <w:b/>
          <w:bCs/>
          <w:sz w:val="22"/>
          <w:szCs w:val="22"/>
        </w:rPr>
        <w:t xml:space="preserve">f. Maharah Qira'ah dalam Pembelajaran Kitab Turats</w:t>
      </w:r>
    </w:p>
    <w:p>
      <w:pPr>
        <w:spacing w:after="200" w:line="360"/>
        <w:jc w:val="both"/>
      </w:pPr>
      <w:r>
        <w:t xml:space="preserve">Maharah qira'ah dalam konteks kitab turats berkaitan dengan kemampuan menghadapi teks tanpa harakat, penguasaan struktur dan tata bahasa, serta pemahaman makna teks. Penguasaan grammar berkaitan dengan penerapannya pada teks klasik (qirā'at al-kutub) (Ardiansyah, Musthafa, Syafei, &amp; Sanah, 2024). Pengembangan keterampilan membaca bahasa Arab untuk kitab klasik berkaitan dengan model pembelajaran yang diterapkan di pesantren (Syafei, Suleman, &amp; Rohanda, 2024). Kemampuan membaca teks tanpa harakat serta penguasaan struktur morfologis dan sintaktis berkaitan dengan pemahaman kitab, sebagaimana ditunjukkan pada konteks pembelajaran kitab Fathul Qarib (Syaifudin, Musadad, Fauzi, Zahro, Nahidloh, &amp; Pujiati, 2025).</w:t>
      </w:r>
    </w:p>
    <w:p>
      <w:pPr>
        <w:pStyle w:val="Heading4"/>
        <w:spacing w:after="100" w:before="200"/>
      </w:pPr>
      <w:r>
        <w:rPr>
          <w:b/>
          <w:bCs/>
          <w:sz w:val="22"/>
          <w:szCs w:val="22"/>
        </w:rPr>
        <w:t xml:space="preserve">g. Pembelajaran Maharah Qira'ah dalam Konteks Pesantren</w:t>
      </w:r>
    </w:p>
    <w:p>
      <w:pPr>
        <w:spacing w:after="200" w:line="360"/>
        <w:jc w:val="both"/>
      </w:pPr>
      <w:r>
        <w:t xml:space="preserve">Pembelajaran maharah qira'ah dalam konteks pesantren berlangsung melalui pembacaan di hadapan guru, koreksi, model pembacaan, latihan berulang, dan diskusi mengenai isi bacaan. Model pembelajaran membaca kitab klasik di pesantren Indonesia mencakup latihan dan bimbingan yang berkelanjutan (Syafei, Suleman, &amp; Rohanda, 2024). Penyesuaian pembelajaran berkaitan dengan variasi kemampuan santri dalam membaca kitab (Syaifudin, Musadad, Fauzi, Zahro, Nahidloh, &amp; Pujiati, 2025). Metode-metode seperti sorogan, bandongan, mudzakarah, dan halaqah menjadi konteks kelembagaan tempat aktivitas membaca kitab berlangsung (Arif, Harun, &amp; Nor Abd Aziz, 2023).</w:t>
      </w:r>
    </w:p>
    <w:p>
      <w:pPr>
        <w:pStyle w:val="Heading4"/>
        <w:spacing w:after="100" w:before="200"/>
      </w:pPr>
      <w:r>
        <w:rPr>
          <w:b/>
          <w:bCs/>
          <w:sz w:val="22"/>
          <w:szCs w:val="22"/>
        </w:rPr>
        <w:t xml:space="preserve">h. Kategori Maharah Qira'ah dalam Penelitian Ini</w:t>
      </w:r>
    </w:p>
    <w:p>
      <w:pPr>
        <w:spacing w:after="200" w:line="360"/>
        <w:jc w:val="both"/>
      </w:pPr>
      <w:r>
        <w:t xml:space="preserve">Penelitian ini menggunakan empat kategori maharah qira'ah, yaitu (1) kemampuan membaca teks tanpa harakat, (2) ketepatan struktur/penerapan nahwu-sharaf, (3) kemampuan memahami dan memaknai teks, dan (4) perkembangan kemampuan membaca kitab. Keempat kategori tersebut merupakan kerangka konseptual-operasional hasil sintesis peneliti berdasarkan literatur qira'ah dan pembacaan teks Arab/kitab, bukan empat indikator yang dirumuskan secara persis oleh satu ahli. Keempat kategori tidak diukur dengan skor, skala, pre-test, post-test, maupun persentase peningkatan. Kategori keempat, yaitu perkembangan kemampuan membaca kitab, ditelusuri secara kualitatif melalui pengalaman santri, observasi, penjelasan ustaz/pengasuh, serta dokumentasi yang relevan dalam data penelitian.</w:t>
      </w:r>
    </w:p>
    <w:p>
      <w:pPr>
        <w:pStyle w:val="Heading4"/>
        <w:spacing w:after="100" w:before="200"/>
      </w:pPr>
      <w:r>
        <w:rPr>
          <w:b/>
          <w:bCs/>
          <w:sz w:val="22"/>
          <w:szCs w:val="22"/>
        </w:rPr>
        <w:t xml:space="preserve">i. Hubungan Maharah Qira'ah dengan Minat Belajar Kitab Turats</w:t>
      </w:r>
    </w:p>
    <w:p>
      <w:pPr>
        <w:spacing w:after="200" w:line="360"/>
        <w:jc w:val="both"/>
      </w:pPr>
      <w:r>
        <w:t xml:space="preserve">Hubungan antara minat dan maharah qira'ah dipahami sebagai hubungan yang dinamis dan potensial resiprokal. Ketertarikan dan keterlibatan dapat berkaitan dengan kesempatan berlatih membaca, sedangkan pengalaman membaca dan memahami teks dapat berkaitan dengan keterlibatan berikutnya. Hubungan tersebut tidak dipahami sebagai hubungan searah yang bersifat kausal.</w:t>
      </w:r>
    </w:p>
    <w:p>
      <w:pPr>
        <w:pStyle w:val="Heading4"/>
        <w:spacing w:after="100" w:before="200"/>
      </w:pPr>
      <w:r>
        <w:rPr>
          <w:b/>
          <w:bCs/>
          <w:sz w:val="22"/>
          <w:szCs w:val="22"/>
        </w:rPr>
        <w:t xml:space="preserve">j. Hubungan Maharah Qira'ah dengan Strategi Lingkungan Pembelajaran</w:t>
      </w:r>
    </w:p>
    <w:p>
      <w:pPr>
        <w:spacing w:after="200" w:line="360"/>
        <w:jc w:val="both"/>
      </w:pPr>
      <w:r>
        <w:t xml:space="preserve">Secara konseptual, strategi lingkungan pembelajaran dapat menyediakan kesempatan, latihan, bimbingan, koreksi, interaksi, sumber, dan ruang membaca yang relevan dengan proses pengembangan maharah qira'ah. Keterkaitan tersebut dipahami secara konseptual, tanpa menyatakan bahwa strategi tertentu terbukti menyebabkan perkembangan maharah qira'ah.</w:t>
      </w:r>
    </w:p>
    <w:p>
      <w:pPr>
        <w:pStyle w:val="Heading4"/>
        <w:spacing w:after="100" w:before="200"/>
      </w:pPr>
      <w:r>
        <w:rPr>
          <w:b/>
          <w:bCs/>
          <w:sz w:val="22"/>
          <w:szCs w:val="22"/>
        </w:rPr>
        <w:t xml:space="preserve">k. Sintesis Maharah Qira'ah dalam Penelitian Ini</w:t>
      </w:r>
    </w:p>
    <w:p>
      <w:pPr>
        <w:spacing w:after="200" w:line="360"/>
        <w:jc w:val="both"/>
      </w:pPr>
      <w:r>
        <w:t xml:space="preserve">Maharah qira'ah dalam penelitian ini ditelaah secara kualitatif melalui empat kategori konseptual-operasional, tanpa penggunaan skor atau instrumen kuantitatif. Implikasi terhadap maharah qira'ah, sebagaimana dirumuskan dalam rumusan masalah ketiga, dibaca dari pengalaman dan perkembangan yang didukung data lapangan, bukan sebagai efek dari desain eksperimen.</w:t>
      </w:r>
    </w:p>
    <w:p>
      <w:pPr>
        <w:pStyle w:val="Heading3"/>
        <w:spacing w:after="150" w:before="300"/>
      </w:pPr>
      <w:r>
        <w:rPr>
          <w:b/>
          <w:bCs/>
          <w:sz w:val="24"/>
          <w:szCs w:val="24"/>
        </w:rPr>
        <w:t xml:space="preserve">7. Sintesis Teoretis Penelitian</w:t>
      </w:r>
    </w:p>
    <w:p>
      <w:pPr>
        <w:pStyle w:val="Heading4"/>
        <w:spacing w:after="100" w:before="200"/>
      </w:pPr>
      <w:r>
        <w:rPr>
          <w:b/>
          <w:bCs/>
          <w:sz w:val="22"/>
          <w:szCs w:val="22"/>
        </w:rPr>
        <w:t xml:space="preserve">a. Posisi Lingkungan Pembelajaran dalam Sistem Pesantren</w:t>
      </w:r>
    </w:p>
    <w:p>
      <w:pPr>
        <w:spacing w:after="200" w:line="360"/>
        <w:jc w:val="both"/>
      </w:pPr>
      <w:r>
        <w:t xml:space="preserve">Lingkungan pembelajaran pesantren, yang ditelaah melalui dimensi fisik, akademik, sosial, dan religius dengan budaya pesantren sebagai konteks lintas dimensi, dipahami sebagai bagian dari sistem pendidikan pesantren yang lebih luas, sebagaimana pesantren dipahami sebagai institusi yang mengintegrasikan dimensi intelektual dan spiritual (Budiman, Anwar, Zarkasyi, &amp; Lateh, 2025).</w:t>
      </w:r>
    </w:p>
    <w:p>
      <w:pPr>
        <w:pStyle w:val="Heading4"/>
        <w:spacing w:after="100" w:before="200"/>
      </w:pPr>
      <w:r>
        <w:rPr>
          <w:b/>
          <w:bCs/>
          <w:sz w:val="22"/>
          <w:szCs w:val="22"/>
        </w:rPr>
        <w:t xml:space="preserve">b. Sintesis Strategi Lingkungan Pembelajaran</w:t>
      </w:r>
    </w:p>
    <w:p>
      <w:pPr>
        <w:spacing w:after="200" w:line="360"/>
        <w:jc w:val="both"/>
      </w:pPr>
      <w:r>
        <w:t xml:space="preserve">Penelitian ini menggunakan tujuh kategori konseptual awal untuk membaca strategi lingkungan pembelajaran pesantren, yaitu pembentukan budaya akademik, pembentukan lingkungan religius, pembiasaan dan kedisiplinan belajar, keteladanan dan pendampingan pengasuh/ustaz, pengembangan interaksi sosial dan peer learning, penyediaan dan pemanfaatan sarana pembelajaran, serta pengembangan kegiatan keilmuan. Ketujuh kategori tersebut merupakan konfigurasi antara ruang, sistem, aktor, nilai, kebiasaan, dan aktivitas belajar yang saling berkaitan.</w:t>
      </w:r>
    </w:p>
    <w:p>
      <w:pPr>
        <w:pStyle w:val="Heading4"/>
        <w:spacing w:after="100" w:before="200"/>
      </w:pPr>
      <w:r>
        <w:rPr>
          <w:b/>
          <w:bCs/>
          <w:sz w:val="22"/>
          <w:szCs w:val="22"/>
        </w:rPr>
        <w:t xml:space="preserve">c. Hubungan Strategi Lingkungan dengan Minat Belajar Kitab Turats</w:t>
      </w:r>
    </w:p>
    <w:p>
      <w:pPr>
        <w:spacing w:after="200" w:line="360"/>
        <w:jc w:val="both"/>
      </w:pPr>
      <w:r>
        <w:t xml:space="preserve">Strategi lingkungan dipahami dapat menyediakan kondisi, kesempatan, dan pengalaman belajar yang secara konseptual berkaitan dengan minat belajar kitab turats. Minat dibaca melalui tujuh kategori jejak empiris, yaitu ketertarikan, rasa senang, perhatian, keterlibatan, kesungguhan, konsistensi, dan kemauan memperdalam, tanpa menyamakan minat dengan engagement.</w:t>
      </w:r>
    </w:p>
    <w:p>
      <w:pPr>
        <w:pStyle w:val="Heading4"/>
        <w:spacing w:after="100" w:before="200"/>
      </w:pPr>
      <w:r>
        <w:rPr>
          <w:b/>
          <w:bCs/>
          <w:sz w:val="22"/>
          <w:szCs w:val="22"/>
        </w:rPr>
        <w:t xml:space="preserve">d. Hubungan Strategi Lingkungan dengan Maharah Qira'ah</w:t>
      </w:r>
    </w:p>
    <w:p>
      <w:pPr>
        <w:spacing w:after="200" w:line="360"/>
        <w:jc w:val="both"/>
      </w:pPr>
      <w:r>
        <w:t xml:space="preserve">Strategi lingkungan menyediakan kesempatan, latihan, bimbingan, koreksi, interaksi, sumber, dan ruang membaca yang secara konseptual berkaitan dengan proses pengembangan maharah qira'ah, yang dibaca melalui empat kategori konseptual-operasional dalam penelitian ini.</w:t>
      </w:r>
    </w:p>
    <w:p>
      <w:pPr>
        <w:pStyle w:val="Heading4"/>
        <w:spacing w:after="100" w:before="200"/>
      </w:pPr>
      <w:r>
        <w:rPr>
          <w:b/>
          <w:bCs/>
          <w:sz w:val="22"/>
          <w:szCs w:val="22"/>
        </w:rPr>
        <w:t xml:space="preserve">e. Hubungan Minat Belajar dan Maharah Qira'ah</w:t>
      </w:r>
    </w:p>
    <w:p>
      <w:pPr>
        <w:spacing w:after="200" w:line="360"/>
        <w:jc w:val="both"/>
      </w:pPr>
      <w:r>
        <w:t xml:space="preserve">Hubungan antara minat belajar dan maharah qira'ah dipahami dinamis dan potensial resiprokal. Pengalaman membaca dan memahami teks dapat berkaitan dengan keterlibatan berikutnya, sebagaimana ketertarikan dan keterlibatan dapat berkaitan dengan kesempatan berlatih membaca.</w:t>
      </w:r>
    </w:p>
    <w:p>
      <w:pPr>
        <w:pStyle w:val="Heading4"/>
        <w:spacing w:after="100" w:before="200"/>
      </w:pPr>
      <w:r>
        <w:rPr>
          <w:b/>
          <w:bCs/>
          <w:sz w:val="22"/>
          <w:szCs w:val="22"/>
        </w:rPr>
        <w:t xml:space="preserve">f. Faktor Pendukung dan Penghambat dalam Kerangka Teoretis</w:t>
      </w:r>
    </w:p>
    <w:p>
      <w:pPr>
        <w:spacing w:after="200" w:line="360"/>
        <w:jc w:val="both"/>
      </w:pPr>
      <w:r>
        <w:t xml:space="preserve">Faktor pendukung dan penghambat diposisikan sebagai kerangka konseptual terbuka yang membantu membaca kondisi-kondisi yang berkaitan dengan pelaksanaan strategi, mencakup dukungan pendidik dan lingkungan, kondisi fasilitas, struktur program dan pengaturan waktu, heterogenitas kemampuan santri, serta kondisi kontekstual seperti keterlibatan dengan media sosial. Contoh-contoh tersebut tidak wajib muncul secara seragam pada setiap situs penelitian.</w:t>
      </w:r>
    </w:p>
    <w:p>
      <w:pPr>
        <w:pStyle w:val="Heading4"/>
        <w:spacing w:after="100" w:before="200"/>
      </w:pPr>
      <w:r>
        <w:rPr>
          <w:b/>
          <w:bCs/>
          <w:sz w:val="22"/>
          <w:szCs w:val="22"/>
        </w:rPr>
        <w:t xml:space="preserve">g. Peta Teoretis Berdasarkan Rumusan Masalah</w:t>
      </w:r>
    </w:p>
    <w:p>
      <w:pPr>
        <w:spacing w:after="200" w:line="360"/>
        <w:jc w:val="center"/>
      </w:pPr>
      <w:r>
        <w:t xml:space="preserve">Tabel 2.2 Peta Teoretis Berdasarkan Rumusan Masalah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shd w:fill="D9D9D9" w:color="auto" w:val="clear"/>
          </w:tcPr>
          <w:p>
            <w:pPr>
              <w:jc w:val="center"/>
            </w:pPr>
            <w:r>
              <w:rPr>
                <w:b/>
                <w:bCs/>
                <w:sz w:val="18"/>
                <w:szCs w:val="18"/>
              </w:rPr>
              <w:t xml:space="preserve">Rumusan Masalah</w:t>
            </w:r>
          </w:p>
        </w:tc>
        <w:tc>
          <w:tcPr>
            <w:tcW w:type="dxa" w:w="3263"/>
            <w:shd w:fill="D9D9D9" w:color="auto" w:val="clear"/>
          </w:tcPr>
          <w:p>
            <w:pPr>
              <w:jc w:val="center"/>
            </w:pPr>
            <w:r>
              <w:rPr>
                <w:b/>
                <w:bCs/>
                <w:sz w:val="18"/>
                <w:szCs w:val="18"/>
              </w:rPr>
              <w:t xml:space="preserve">Konstruk Teoretis Terkait</w:t>
            </w:r>
          </w:p>
        </w:tc>
        <w:tc>
          <w:tcPr>
            <w:tcW w:type="dxa" w:w="3263"/>
            <w:shd w:fill="D9D9D9" w:color="auto" w:val="clear"/>
          </w:tcPr>
          <w:p>
            <w:pPr>
              <w:jc w:val="center"/>
            </w:pPr>
            <w:r>
              <w:rPr>
                <w:b/>
                <w:bCs/>
                <w:sz w:val="18"/>
                <w:szCs w:val="18"/>
              </w:rPr>
              <w:t xml:space="preserve">Data yang Ditelusuri Secara Kualitatif</w:t>
            </w:r>
          </w:p>
        </w:tc>
      </w:tr>
      <w:tr>
        <w:tc>
          <w:tcPr>
            <w:tcW w:type="dxa" w:w="2500"/>
          </w:tcPr>
          <w:p>
            <w:pPr>
              <w:jc w:val="left"/>
            </w:pPr>
            <w:r>
              <w:rPr>
                <w:sz w:val="18"/>
                <w:szCs w:val="18"/>
              </w:rPr>
              <w:t xml:space="preserve">RM1: Strategi lingkungan pembelajaran pesantren dalam meningkatkan minat belajar kitab turats</w:t>
            </w:r>
          </w:p>
        </w:tc>
        <w:tc>
          <w:tcPr>
            <w:tcW w:type="dxa" w:w="3263"/>
          </w:tcPr>
          <w:p>
            <w:pPr>
              <w:jc w:val="left"/>
            </w:pPr>
            <w:r>
              <w:rPr>
                <w:sz w:val="18"/>
                <w:szCs w:val="18"/>
              </w:rPr>
              <w:t xml:space="preserve">Tujuh kategori strategi lingkungan pembelajaran; empat dimensi lingkungan; minat belajar (tujuh kategori jejak empiris)</w:t>
            </w:r>
          </w:p>
        </w:tc>
        <w:tc>
          <w:tcPr>
            <w:tcW w:type="dxa" w:w="3263"/>
          </w:tcPr>
          <w:p>
            <w:pPr>
              <w:jc w:val="left"/>
            </w:pPr>
            <w:r>
              <w:rPr>
                <w:sz w:val="18"/>
                <w:szCs w:val="18"/>
              </w:rPr>
              <w:t xml:space="preserve">Praktik kelembagaan, kondisi fisik-akademik-sosial-religius, jejak ketertarikan dan keterlibatan santri terhadap kitab turats</w:t>
            </w:r>
          </w:p>
        </w:tc>
      </w:tr>
      <w:tr>
        <w:tc>
          <w:tcPr>
            <w:tcW w:type="dxa" w:w="2500"/>
          </w:tcPr>
          <w:p>
            <w:pPr>
              <w:jc w:val="left"/>
            </w:pPr>
            <w:r>
              <w:rPr>
                <w:sz w:val="18"/>
                <w:szCs w:val="18"/>
              </w:rPr>
              <w:t xml:space="preserve">RM2: Faktor pendukung dan penghambat strategi lingkungan pembelajaran</w:t>
            </w:r>
          </w:p>
        </w:tc>
        <w:tc>
          <w:tcPr>
            <w:tcW w:type="dxa" w:w="3263"/>
          </w:tcPr>
          <w:p>
            <w:pPr>
              <w:jc w:val="left"/>
            </w:pPr>
            <w:r>
              <w:rPr>
                <w:sz w:val="18"/>
                <w:szCs w:val="18"/>
              </w:rPr>
              <w:t xml:space="preserve">Kerangka konseptual faktor pendukung/penghambat (dukungan pendidik, lingkungan, fasilitas, struktur program, heterogenitas kemampuan)</w:t>
            </w:r>
          </w:p>
        </w:tc>
        <w:tc>
          <w:tcPr>
            <w:tcW w:type="dxa" w:w="3263"/>
          </w:tcPr>
          <w:p>
            <w:pPr>
              <w:jc w:val="left"/>
            </w:pPr>
            <w:r>
              <w:rPr>
                <w:sz w:val="18"/>
                <w:szCs w:val="18"/>
              </w:rPr>
              <w:t xml:space="preserve">Kondisi kontekstual yang berkaitan dengan pelaksanaan strategi di masing-masing situs</w:t>
            </w:r>
          </w:p>
        </w:tc>
      </w:tr>
      <w:tr>
        <w:tc>
          <w:tcPr>
            <w:tcW w:type="dxa" w:w="2500"/>
          </w:tcPr>
          <w:p>
            <w:pPr>
              <w:jc w:val="left"/>
            </w:pPr>
            <w:r>
              <w:rPr>
                <w:sz w:val="18"/>
                <w:szCs w:val="18"/>
              </w:rPr>
              <w:t xml:space="preserve">RM3: Implikasi strategi terhadap minat belajar dan perkembangan maharah qira'ah</w:t>
            </w:r>
          </w:p>
        </w:tc>
        <w:tc>
          <w:tcPr>
            <w:tcW w:type="dxa" w:w="3263"/>
          </w:tcPr>
          <w:p>
            <w:pPr>
              <w:jc w:val="left"/>
            </w:pPr>
            <w:r>
              <w:rPr>
                <w:sz w:val="18"/>
                <w:szCs w:val="18"/>
              </w:rPr>
              <w:t xml:space="preserve">Hubungan dinamis strategi–minat–qira'ah; empat kategori maharah qira'ah</w:t>
            </w:r>
          </w:p>
        </w:tc>
        <w:tc>
          <w:tcPr>
            <w:tcW w:type="dxa" w:w="3263"/>
          </w:tcPr>
          <w:p>
            <w:pPr>
              <w:jc w:val="left"/>
            </w:pPr>
            <w:r>
              <w:rPr>
                <w:sz w:val="18"/>
                <w:szCs w:val="18"/>
              </w:rPr>
              <w:t xml:space="preserve">Pengalaman, observasi, dan keterangan informan mengenai perkembangan kemampuan membaca kitab dan minat belajar</w:t>
            </w:r>
          </w:p>
        </w:tc>
      </w:tr>
    </w:tbl>
    <w:p>
      <w:pPr>
        <w:spacing w:after="200"/>
      </w:pPr>
    </w:p>
    <w:p>
      <w:pPr>
        <w:pStyle w:val="Heading4"/>
        <w:spacing w:after="100" w:before="200"/>
      </w:pPr>
      <w:r>
        <w:rPr>
          <w:b/>
          <w:bCs/>
          <w:sz w:val="22"/>
          <w:szCs w:val="22"/>
        </w:rPr>
        <w:t xml:space="preserve">h. Posisi Kerangka Teoretis dalam Analisis Multisitus</w:t>
      </w:r>
    </w:p>
    <w:p>
      <w:pPr>
        <w:spacing w:after="200" w:line="360"/>
        <w:jc w:val="both"/>
      </w:pPr>
      <w:r>
        <w:t xml:space="preserve">Analisis penelitian dilaksanakan melalui pembacaan masing-masing situs terlebih dahulu (within-site), kemudian dilanjutkan dengan analisis lintas situs (cross-site). Kerangka teoretis di atas digunakan sebagai acuan analisis pada kedua tahap tersebut, dengan mempertimbangkan kemungkinan variasi implementasi kelembagaan antara kedua situs penelitian.</w:t>
      </w:r>
    </w:p>
    <w:p>
      <w:pPr>
        <w:pStyle w:val="Heading4"/>
        <w:spacing w:after="100" w:before="200"/>
      </w:pPr>
      <w:r>
        <w:rPr>
          <w:b/>
          <w:bCs/>
          <w:sz w:val="22"/>
          <w:szCs w:val="22"/>
        </w:rPr>
        <w:t xml:space="preserve">i. Sintesis Akhir BAB II</w:t>
      </w:r>
    </w:p>
    <w:p>
      <w:pPr>
        <w:spacing w:after="200" w:line="360"/>
        <w:jc w:val="both"/>
      </w:pPr>
      <w:r>
        <w:t xml:space="preserve">Kerangka teoretis penelitian ini memandang strategi lingkungan pembelajaran pesantren sebagai upaya kelembagaan multidimensional yang melibatkan dimensi fisik, akademik, sosial, dan religius dalam konteks budaya pesantren. Kerangka ini digunakan sebagai acuan analisis untuk menelaah keterkaitan strategi lingkungan dengan minat belajar kitab turats dan perkembangan maharah qira'ah santri, dengan data yang ditelusuri secara kualitatif dan ditafsirkan berdasarkan data penelitian, tanpa klaim kausal deterministik antarkonstruk.</w:t>
      </w:r>
    </w:p>
    <w:p>
      <w:pPr>
        <w:spacing w:after="200" w:line="360"/>
        <w:jc w:val="center"/>
      </w:pPr>
      <w:r>
        <w:rPr>
          <w:b/>
          <w:bCs/>
        </w:rPr>
        <w:t xml:space="preserve">Gambar 2.1 Kerangka Konseptual Penelitian</w:t>
      </w:r>
    </w:p>
    <w:p>
      <w:pPr>
        <w:spacing w:after="0" w:line="240"/>
        <w:jc w:val="center"/>
      </w:pPr>
      <w:r>
        <w:rPr>
          <w:rFonts w:ascii="Courier New" w:cs="Courier New" w:eastAsia="Courier New" w:hAnsi="Courier New"/>
          <w:sz w:val="18"/>
          <w:szCs w:val="18"/>
        </w:rPr>
        <w:t xml:space="preserve">[PESANTREN SEBAGAI KONTEKS INSTITUSIONAL]</w:t>
      </w:r>
    </w:p>
    <w:p>
      <w:pPr>
        <w:spacing w:after="0" w:line="240"/>
        <w:jc w:val="center"/>
      </w:pPr>
      <w:r>
        <w:rPr>
          <w:rFonts w:ascii="Courier New" w:cs="Courier New" w:eastAsia="Courier New" w:hAnsi="Courier New"/>
          <w:sz w:val="18"/>
          <w:szCs w:val="18"/>
        </w:rPr>
        <w:t xml:space="preserve">                    |</w:t>
      </w:r>
    </w:p>
    <w:p>
      <w:pPr>
        <w:spacing w:after="0" w:line="240"/>
        <w:jc w:val="center"/>
      </w:pPr>
      <w:r>
        <w:rPr>
          <w:rFonts w:ascii="Courier New" w:cs="Courier New" w:eastAsia="Courier New" w:hAnsi="Courier New"/>
          <w:sz w:val="18"/>
          <w:szCs w:val="18"/>
        </w:rPr>
        <w:t xml:space="preserve">                    v</w:t>
      </w:r>
    </w:p>
    <w:p>
      <w:pPr>
        <w:spacing w:after="0" w:line="240"/>
        <w:jc w:val="center"/>
      </w:pPr>
      <w:r>
        <w:rPr>
          <w:rFonts w:ascii="Courier New" w:cs="Courier New" w:eastAsia="Courier New" w:hAnsi="Courier New"/>
          <w:sz w:val="18"/>
          <w:szCs w:val="18"/>
        </w:rPr>
        <w:t xml:space="preserve">[LINGKUNGAN PEMBELAJARAN PESANTREN]</w:t>
      </w:r>
    </w:p>
    <w:p>
      <w:pPr>
        <w:spacing w:after="0" w:line="240"/>
        <w:jc w:val="center"/>
      </w:pPr>
      <w:r>
        <w:rPr>
          <w:rFonts w:ascii="Courier New" w:cs="Courier New" w:eastAsia="Courier New" w:hAnsi="Courier New"/>
          <w:sz w:val="18"/>
          <w:szCs w:val="18"/>
        </w:rPr>
        <w:t xml:space="preserve">Fisik | Akademik | Sosial | Religius</w:t>
      </w:r>
    </w:p>
    <w:p>
      <w:pPr>
        <w:spacing w:after="0" w:line="240"/>
        <w:jc w:val="center"/>
      </w:pPr>
      <w:r>
        <w:rPr>
          <w:rFonts w:ascii="Courier New" w:cs="Courier New" w:eastAsia="Courier New" w:hAnsi="Courier New"/>
          <w:sz w:val="18"/>
          <w:szCs w:val="18"/>
        </w:rPr>
        <w:t xml:space="preserve">(dalam konteks budaya pesantren)</w:t>
      </w:r>
    </w:p>
    <w:p>
      <w:pPr>
        <w:spacing w:after="0" w:line="240"/>
        <w:jc w:val="center"/>
      </w:pPr>
      <w:r>
        <w:rPr>
          <w:rFonts w:ascii="Courier New" w:cs="Courier New" w:eastAsia="Courier New" w:hAnsi="Courier New"/>
          <w:sz w:val="18"/>
          <w:szCs w:val="18"/>
        </w:rPr>
        <w:t xml:space="preserve">                    |</w:t>
      </w:r>
    </w:p>
    <w:p>
      <w:pPr>
        <w:spacing w:after="0" w:line="240"/>
        <w:jc w:val="center"/>
      </w:pPr>
      <w:r>
        <w:rPr>
          <w:rFonts w:ascii="Courier New" w:cs="Courier New" w:eastAsia="Courier New" w:hAnsi="Courier New"/>
          <w:sz w:val="18"/>
          <w:szCs w:val="18"/>
        </w:rPr>
        <w:t xml:space="preserve">                    v</w:t>
      </w:r>
    </w:p>
    <w:p>
      <w:pPr>
        <w:spacing w:after="0" w:line="240"/>
        <w:jc w:val="center"/>
      </w:pPr>
      <w:r>
        <w:rPr>
          <w:rFonts w:ascii="Courier New" w:cs="Courier New" w:eastAsia="Courier New" w:hAnsi="Courier New"/>
          <w:sz w:val="18"/>
          <w:szCs w:val="18"/>
        </w:rPr>
        <w:t xml:space="preserve">[STRATEGI PENGELOLAAN LINGKUNGAN]</w:t>
      </w:r>
    </w:p>
    <w:p>
      <w:pPr>
        <w:spacing w:after="0" w:line="240"/>
        <w:jc w:val="center"/>
      </w:pPr>
      <w:r>
        <w:rPr>
          <w:rFonts w:ascii="Courier New" w:cs="Courier New" w:eastAsia="Courier New" w:hAnsi="Courier New"/>
          <w:sz w:val="18"/>
          <w:szCs w:val="18"/>
        </w:rPr>
        <w:t xml:space="preserve">- budaya akademik</w:t>
      </w:r>
    </w:p>
    <w:p>
      <w:pPr>
        <w:spacing w:after="0" w:line="240"/>
        <w:jc w:val="center"/>
      </w:pPr>
      <w:r>
        <w:rPr>
          <w:rFonts w:ascii="Courier New" w:cs="Courier New" w:eastAsia="Courier New" w:hAnsi="Courier New"/>
          <w:sz w:val="18"/>
          <w:szCs w:val="18"/>
        </w:rPr>
        <w:t xml:space="preserve">- lingkungan religius</w:t>
      </w:r>
    </w:p>
    <w:p>
      <w:pPr>
        <w:spacing w:after="0" w:line="240"/>
        <w:jc w:val="center"/>
      </w:pPr>
      <w:r>
        <w:rPr>
          <w:rFonts w:ascii="Courier New" w:cs="Courier New" w:eastAsia="Courier New" w:hAnsi="Courier New"/>
          <w:sz w:val="18"/>
          <w:szCs w:val="18"/>
        </w:rPr>
        <w:t xml:space="preserve">- pembiasaan &amp; kedisiplinan</w:t>
      </w:r>
    </w:p>
    <w:p>
      <w:pPr>
        <w:spacing w:after="0" w:line="240"/>
        <w:jc w:val="center"/>
      </w:pPr>
      <w:r>
        <w:rPr>
          <w:rFonts w:ascii="Courier New" w:cs="Courier New" w:eastAsia="Courier New" w:hAnsi="Courier New"/>
          <w:sz w:val="18"/>
          <w:szCs w:val="18"/>
        </w:rPr>
        <w:t xml:space="preserve">- keteladanan &amp; pendampingan</w:t>
      </w:r>
    </w:p>
    <w:p>
      <w:pPr>
        <w:spacing w:after="0" w:line="240"/>
        <w:jc w:val="center"/>
      </w:pPr>
      <w:r>
        <w:rPr>
          <w:rFonts w:ascii="Courier New" w:cs="Courier New" w:eastAsia="Courier New" w:hAnsi="Courier New"/>
          <w:sz w:val="18"/>
          <w:szCs w:val="18"/>
        </w:rPr>
        <w:t xml:space="preserve">- interaksi sosial / peer learning</w:t>
      </w:r>
    </w:p>
    <w:p>
      <w:pPr>
        <w:spacing w:after="0" w:line="240"/>
        <w:jc w:val="center"/>
      </w:pPr>
      <w:r>
        <w:rPr>
          <w:rFonts w:ascii="Courier New" w:cs="Courier New" w:eastAsia="Courier New" w:hAnsi="Courier New"/>
          <w:sz w:val="18"/>
          <w:szCs w:val="18"/>
        </w:rPr>
        <w:t xml:space="preserve">- sarana belajar</w:t>
      </w:r>
    </w:p>
    <w:p>
      <w:pPr>
        <w:spacing w:after="0" w:line="240"/>
        <w:jc w:val="center"/>
      </w:pPr>
      <w:r>
        <w:rPr>
          <w:rFonts w:ascii="Courier New" w:cs="Courier New" w:eastAsia="Courier New" w:hAnsi="Courier New"/>
          <w:sz w:val="18"/>
          <w:szCs w:val="18"/>
        </w:rPr>
        <w:t xml:space="preserve">- kegiatan keilmuan</w:t>
      </w:r>
    </w:p>
    <w:p>
      <w:pPr>
        <w:spacing w:after="0" w:line="240"/>
        <w:jc w:val="center"/>
      </w:pPr>
      <w:r>
        <w:rPr>
          <w:rFonts w:ascii="Courier New" w:cs="Courier New" w:eastAsia="Courier New" w:hAnsi="Courier New"/>
          <w:sz w:val="18"/>
          <w:szCs w:val="18"/>
        </w:rPr>
        <w:t xml:space="preserve">                    |</w:t>
      </w:r>
    </w:p>
    <w:p>
      <w:pPr>
        <w:spacing w:after="0" w:line="240"/>
        <w:jc w:val="center"/>
      </w:pPr>
      <w:r>
        <w:rPr>
          <w:rFonts w:ascii="Courier New" w:cs="Courier New" w:eastAsia="Courier New" w:hAnsi="Courier New"/>
          <w:sz w:val="18"/>
          <w:szCs w:val="18"/>
        </w:rPr>
        <w:t xml:space="preserve">                    v</w:t>
      </w:r>
    </w:p>
    <w:p>
      <w:pPr>
        <w:spacing w:after="0" w:line="240"/>
        <w:jc w:val="center"/>
      </w:pPr>
      <w:r>
        <w:rPr>
          <w:rFonts w:ascii="Courier New" w:cs="Courier New" w:eastAsia="Courier New" w:hAnsi="Courier New"/>
          <w:sz w:val="18"/>
          <w:szCs w:val="18"/>
        </w:rPr>
        <w:t xml:space="preserve">[KONDISI DAN KESEMPATAN BELAJAR]</w:t>
      </w:r>
    </w:p>
    <w:p>
      <w:pPr>
        <w:spacing w:after="0" w:line="240"/>
        <w:jc w:val="center"/>
      </w:pPr>
      <w:r>
        <w:rPr>
          <w:rFonts w:ascii="Courier New" w:cs="Courier New" w:eastAsia="Courier New" w:hAnsi="Courier New"/>
          <w:sz w:val="18"/>
          <w:szCs w:val="18"/>
        </w:rPr>
        <w:t xml:space="preserve">pembiasaan | pendampingan | interaksi sosial |</w:t>
      </w:r>
    </w:p>
    <w:p>
      <w:pPr>
        <w:spacing w:after="0" w:line="240"/>
        <w:jc w:val="center"/>
      </w:pPr>
      <w:r>
        <w:rPr>
          <w:rFonts w:ascii="Courier New" w:cs="Courier New" w:eastAsia="Courier New" w:hAnsi="Courier New"/>
          <w:sz w:val="18"/>
          <w:szCs w:val="18"/>
        </w:rPr>
        <w:t xml:space="preserve">akses kitab | kesempatan latihan membaca</w:t>
      </w:r>
    </w:p>
    <w:p>
      <w:pPr>
        <w:spacing w:after="0" w:line="240"/>
        <w:jc w:val="center"/>
      </w:pPr>
      <w:r>
        <w:rPr>
          <w:rFonts w:ascii="Courier New" w:cs="Courier New" w:eastAsia="Courier New" w:hAnsi="Courier New"/>
          <w:sz w:val="18"/>
          <w:szCs w:val="18"/>
        </w:rPr>
        <w:t xml:space="preserve">                    |</w:t>
      </w:r>
    </w:p>
    <w:p>
      <w:pPr>
        <w:spacing w:after="0" w:line="240"/>
        <w:jc w:val="center"/>
      </w:pPr>
      <w:r>
        <w:rPr>
          <w:rFonts w:ascii="Courier New" w:cs="Courier New" w:eastAsia="Courier New" w:hAnsi="Courier New"/>
          <w:sz w:val="18"/>
          <w:szCs w:val="18"/>
        </w:rPr>
        <w:t xml:space="preserve">        +-----------+-----------+</w:t>
      </w:r>
    </w:p>
    <w:p>
      <w:pPr>
        <w:spacing w:after="0" w:line="240"/>
        <w:jc w:val="center"/>
      </w:pPr>
      <w:r>
        <w:rPr>
          <w:rFonts w:ascii="Courier New" w:cs="Courier New" w:eastAsia="Courier New" w:hAnsi="Courier New"/>
          <w:sz w:val="18"/>
          <w:szCs w:val="18"/>
        </w:rPr>
        <w:t xml:space="preserve">        |                       |</w:t>
      </w:r>
    </w:p>
    <w:p>
      <w:pPr>
        <w:spacing w:after="0" w:line="240"/>
        <w:jc w:val="center"/>
      </w:pPr>
      <w:r>
        <w:rPr>
          <w:rFonts w:ascii="Courier New" w:cs="Courier New" w:eastAsia="Courier New" w:hAnsi="Courier New"/>
          <w:sz w:val="18"/>
          <w:szCs w:val="18"/>
        </w:rPr>
        <w:t xml:space="preserve">        v                       v</w:t>
      </w:r>
    </w:p>
    <w:p>
      <w:pPr>
        <w:spacing w:after="0" w:line="240"/>
        <w:jc w:val="center"/>
      </w:pPr>
      <w:r>
        <w:rPr>
          <w:rFonts w:ascii="Courier New" w:cs="Courier New" w:eastAsia="Courier New" w:hAnsi="Courier New"/>
          <w:sz w:val="18"/>
          <w:szCs w:val="18"/>
        </w:rPr>
        <w:t xml:space="preserve">[MINAT BELAJAR KITAB TURATS] &lt;----&gt;  [PRAKTIK MEMBACA BERULANG]</w:t>
      </w:r>
    </w:p>
    <w:p>
      <w:pPr>
        <w:spacing w:after="0" w:line="240"/>
        <w:jc w:val="center"/>
      </w:pPr>
      <w:r>
        <w:rPr>
          <w:rFonts w:ascii="Courier New" w:cs="Courier New" w:eastAsia="Courier New" w:hAnsi="Courier New"/>
          <w:sz w:val="18"/>
          <w:szCs w:val="18"/>
        </w:rPr>
        <w:t xml:space="preserve">(ditelusuri melalui ketertarikan,              ^</w:t>
      </w:r>
    </w:p>
    <w:p>
      <w:pPr>
        <w:spacing w:after="0" w:line="240"/>
        <w:jc w:val="center"/>
      </w:pPr>
      <w:r>
        <w:rPr>
          <w:rFonts w:ascii="Courier New" w:cs="Courier New" w:eastAsia="Courier New" w:hAnsi="Courier New"/>
          <w:sz w:val="18"/>
          <w:szCs w:val="18"/>
        </w:rPr>
        <w:t xml:space="preserve"> rasa senang, perhatian, keterlibatan,          |</w:t>
      </w:r>
    </w:p>
    <w:p>
      <w:pPr>
        <w:spacing w:after="0" w:line="240"/>
        <w:jc w:val="center"/>
      </w:pPr>
      <w:r>
        <w:rPr>
          <w:rFonts w:ascii="Courier New" w:cs="Courier New" w:eastAsia="Courier New" w:hAnsi="Courier New"/>
          <w:sz w:val="18"/>
          <w:szCs w:val="18"/>
        </w:rPr>
        <w:t xml:space="preserve"> kesungguhan, konsistensi, dan                  v</w:t>
      </w:r>
    </w:p>
    <w:p>
      <w:pPr>
        <w:spacing w:after="0" w:line="240"/>
        <w:jc w:val="center"/>
      </w:pPr>
      <w:r>
        <w:rPr>
          <w:rFonts w:ascii="Courier New" w:cs="Courier New" w:eastAsia="Courier New" w:hAnsi="Courier New"/>
          <w:sz w:val="18"/>
          <w:szCs w:val="18"/>
        </w:rPr>
        <w:t xml:space="preserve"> kemauan memperdalam)                [MAHARAH QIRA'AH]</w:t>
      </w:r>
    </w:p>
    <w:p>
      <w:pPr>
        <w:spacing w:after="0" w:line="240"/>
        <w:jc w:val="center"/>
      </w:pPr>
      <w:r>
        <w:rPr>
          <w:rFonts w:ascii="Courier New" w:cs="Courier New" w:eastAsia="Courier New" w:hAnsi="Courier New"/>
          <w:sz w:val="18"/>
          <w:szCs w:val="18"/>
        </w:rPr>
        <w:t xml:space="preserve">                               - membaca teks tanpa harakat</w:t>
      </w:r>
    </w:p>
    <w:p>
      <w:pPr>
        <w:spacing w:after="0" w:line="240"/>
        <w:jc w:val="center"/>
      </w:pPr>
      <w:r>
        <w:rPr>
          <w:rFonts w:ascii="Courier New" w:cs="Courier New" w:eastAsia="Courier New" w:hAnsi="Courier New"/>
          <w:sz w:val="18"/>
          <w:szCs w:val="18"/>
        </w:rPr>
        <w:t xml:space="preserve">                               - ketepatan struktur/nahwu-sharaf</w:t>
      </w:r>
    </w:p>
    <w:p>
      <w:pPr>
        <w:spacing w:after="0" w:line="240"/>
        <w:jc w:val="center"/>
      </w:pPr>
      <w:r>
        <w:rPr>
          <w:rFonts w:ascii="Courier New" w:cs="Courier New" w:eastAsia="Courier New" w:hAnsi="Courier New"/>
          <w:sz w:val="18"/>
          <w:szCs w:val="18"/>
        </w:rPr>
        <w:t xml:space="preserve">                               - memahami dan memaknai teks</w:t>
      </w:r>
    </w:p>
    <w:p>
      <w:pPr>
        <w:spacing w:after="0" w:line="240"/>
        <w:jc w:val="center"/>
      </w:pPr>
      <w:r>
        <w:rPr>
          <w:rFonts w:ascii="Courier New" w:cs="Courier New" w:eastAsia="Courier New" w:hAnsi="Courier New"/>
          <w:sz w:val="18"/>
          <w:szCs w:val="18"/>
        </w:rPr>
        <w:t xml:space="preserve">                               - perkembangan kemampuan membaca</w:t>
      </w:r>
    </w:p>
    <w:p>
      <w:pPr>
        <w:spacing w:after="0" w:line="240"/>
        <w:jc w:val="center"/>
      </w:pPr>
      <w:r>
        <w:rPr>
          <w:rFonts w:ascii="Courier New" w:cs="Courier New" w:eastAsia="Courier New" w:hAnsi="Courier New"/>
          <w:sz w:val="18"/>
          <w:szCs w:val="18"/>
        </w:rPr>
        <w:t xml:space="preserve"/>
      </w:r>
    </w:p>
    <w:p>
      <w:pPr>
        <w:spacing w:after="0" w:line="240"/>
        <w:jc w:val="center"/>
      </w:pPr>
      <w:r>
        <w:rPr>
          <w:rFonts w:ascii="Courier New" w:cs="Courier New" w:eastAsia="Courier New" w:hAnsi="Courier New"/>
          <w:sz w:val="18"/>
          <w:szCs w:val="18"/>
        </w:rPr>
        <w:t xml:space="preserve">[Faktor pendukung dan penghambat] = kondisi kontekstual yang dapat</w:t>
      </w:r>
    </w:p>
    <w:p>
      <w:pPr>
        <w:spacing w:after="0" w:line="240"/>
        <w:jc w:val="center"/>
      </w:pPr>
      <w:r>
        <w:rPr>
          <w:rFonts w:ascii="Courier New" w:cs="Courier New" w:eastAsia="Courier New" w:hAnsi="Courier New"/>
          <w:sz w:val="18"/>
          <w:szCs w:val="18"/>
        </w:rPr>
        <w:t xml:space="preserve">berkaitan dengan pelaksanaan strategi sepanjang proses.</w:t>
      </w:r>
    </w:p>
    <w:p>
      <w:pPr>
        <w:spacing w:after="300" w:before="100"/>
        <w:jc w:val="center"/>
      </w:pPr>
      <w:r>
        <w:rPr>
          <w:i/>
          <w:iCs/>
          <w:sz w:val="20"/>
          <w:szCs w:val="20"/>
        </w:rPr>
        <w:t xml:space="preserve">Gambar 2.1 merupakan kerangka konseptual untuk kepentingan analisis kualitatif. Arah panah menunjukkan keterkaitan analitis dan alur pembacaan konsep, bukan hubungan sebab-akibat deterministik. Minat belajar tidak disamakan dengan engagement; keterlibatan digunakan sebagai salah satu jejak empiris untuk membaca minat bersama indikator dan data lainnya.</w:t>
      </w:r>
    </w:p>
    <w:p>
      <w:r>
        <w:br w:type="page"/>
      </w:r>
    </w:p>
    <w:p>
      <w:pPr>
        <w:pStyle w:val="Heading2"/>
        <w:spacing w:after="200" w:before="400"/>
      </w:pPr>
      <w:r>
        <w:rPr>
          <w:b/>
          <w:bCs/>
          <w:sz w:val="26"/>
          <w:szCs w:val="26"/>
        </w:rPr>
        <w:t xml:space="preserve">Daftar Pustaka Bab II</w:t>
      </w:r>
    </w:p>
    <w:p>
      <w:pPr>
        <w:spacing w:after="200" w:line="360"/>
        <w:jc w:val="both"/>
      </w:pPr>
      <w:r>
        <w:t xml:space="preserve">Daftar berikut memuat 25 sumber unik yang disitasi dalam BAB II, disusun alfabetis dan diberi kode referensi internal (BII-01 s.d. BII-25) untuk keperluan pelacakan pada Master Reference Register. Kode ini bersifat internal dan tidak ditampilkan dalam badan teks BAB II; badan teks tetap menggunakan gaya sitasi author–date.</w:t>
      </w:r>
    </w:p>
    <w:p>
      <w:pPr>
        <w:spacing w:after="200" w:line="300"/>
        <w:ind w:left="720" w:hanging="720"/>
      </w:pPr>
      <w:r>
        <w:rPr>
          <w:b/>
          <w:bCs/>
        </w:rPr>
        <w:t xml:space="preserve">[BII-01]  </w:t>
      </w:r>
      <w:r>
        <w:t xml:space="preserve">Amrullah, Z., &amp; Mutholingah, S. (2025). Tradition Meets Modernity: A Study on Classic Book (Turats) Learning at Sidogiri Pesantren. </w:t>
      </w:r>
      <w:r>
        <w:rPr>
          <w:i/>
          <w:iCs/>
        </w:rPr>
        <w:t xml:space="preserve">EDUKASI: Jurnal Penelitian Pendidikan Agama dan Keagamaan, 23</w:t>
      </w:r>
      <w:r>
        <w:t xml:space="preserve">(2), 208–226. https://doi.org/10.32729/edukasi.v23i2.1893</w:t>
      </w:r>
    </w:p>
    <w:p>
      <w:pPr>
        <w:spacing w:after="200" w:line="300"/>
        <w:ind w:left="720" w:hanging="720"/>
      </w:pPr>
      <w:r>
        <w:rPr>
          <w:b/>
          <w:bCs/>
        </w:rPr>
        <w:t xml:space="preserve">[BII-02]  </w:t>
      </w:r>
      <w:r>
        <w:t xml:space="preserve">Ardiansyah, A. A., Musthafa, I., Syafei, I., &amp; Sanah, S. (2024). Streamlining Arabic Grammar to Facilitate Mastery of Qirâ’at al-Kutub for University Students. </w:t>
      </w:r>
      <w:r>
        <w:rPr>
          <w:i/>
          <w:iCs/>
        </w:rPr>
        <w:t xml:space="preserve">Arabiyat: Jurnal Pendidikan Bahasa Arab dan Kebahasaaraban, 11</w:t>
      </w:r>
      <w:r>
        <w:t xml:space="preserve">(2), 221–233. https://doi.org/10.15408/a.v11i2.42517</w:t>
      </w:r>
    </w:p>
    <w:p>
      <w:pPr>
        <w:spacing w:after="200" w:line="300"/>
        <w:ind w:left="720" w:hanging="720"/>
      </w:pPr>
      <w:r>
        <w:rPr>
          <w:b/>
          <w:bCs/>
        </w:rPr>
        <w:t xml:space="preserve">[BII-03]  </w:t>
      </w:r>
      <w:r>
        <w:t xml:space="preserve">Arif, M., Harun, M., &amp; Nor Abd Aziz, M. K. (2023). A Systematic Review Trend of Learning Methods for Reading the Kitab Kuning at Pesantren (2000–2022). </w:t>
      </w:r>
      <w:r>
        <w:rPr>
          <w:i/>
          <w:iCs/>
        </w:rPr>
        <w:t xml:space="preserve">Journal of Islamic Civilization, 4</w:t>
      </w:r>
      <w:r>
        <w:t xml:space="preserve">(2), 146–164. https://doi.org/10.33086/jic.v4i2.3578</w:t>
      </w:r>
    </w:p>
    <w:p>
      <w:pPr>
        <w:spacing w:after="200" w:line="300"/>
        <w:ind w:left="720" w:hanging="720"/>
      </w:pPr>
      <w:r>
        <w:rPr>
          <w:b/>
          <w:bCs/>
        </w:rPr>
        <w:t xml:space="preserve">[BII-04]  </w:t>
      </w:r>
      <w:r>
        <w:t xml:space="preserve">Arif, M., Nasir, R., &amp; Ma'arif, M. A. (2025). The Kitab Kuning Learning Model in the Development of Student Expertise in Pesantren-Based Higher Education. </w:t>
      </w:r>
      <w:r>
        <w:rPr>
          <w:i/>
          <w:iCs/>
        </w:rPr>
        <w:t xml:space="preserve">Nazhruna: Jurnal Pendidikan Islam, 8</w:t>
      </w:r>
      <w:r>
        <w:t xml:space="preserve">(1), 52–74. https://doi.org/10.31538/nzh.v8i1.8</w:t>
      </w:r>
    </w:p>
    <w:p>
      <w:pPr>
        <w:spacing w:after="200" w:line="300"/>
        <w:ind w:left="720" w:hanging="720"/>
      </w:pPr>
      <w:r>
        <w:rPr>
          <w:b/>
          <w:bCs/>
        </w:rPr>
        <w:t xml:space="preserve">[BII-05]  </w:t>
      </w:r>
      <w:r>
        <w:t xml:space="preserve">Bengesai, A. V., Amusa, L. B., &amp; Dhunpath, R. (2023). A meta-analysis on the effect of formal peer learning approaches on course performance in higher education. </w:t>
      </w:r>
      <w:r>
        <w:rPr>
          <w:i/>
          <w:iCs/>
        </w:rPr>
        <w:t xml:space="preserve">Cogent Education, 10</w:t>
      </w:r>
      <w:r>
        <w:t xml:space="preserve">(1), 2203990. https://doi.org/10.1080/2331186X.2023.2203990</w:t>
      </w:r>
    </w:p>
    <w:p>
      <w:pPr>
        <w:spacing w:after="200" w:line="300"/>
        <w:ind w:left="720" w:hanging="720"/>
      </w:pPr>
      <w:r>
        <w:rPr>
          <w:b/>
          <w:bCs/>
        </w:rPr>
        <w:t xml:space="preserve">[BII-06]  </w:t>
      </w:r>
      <w:r>
        <w:t xml:space="preserve">Bin Sawad, N., Law, J. M., Tibi, S., &amp; Boese, K. (2022). Arabic Metalinguistic Knowledge Predicts Reading Comprehension: A Scoping Review. </w:t>
      </w:r>
      <w:r>
        <w:rPr>
          <w:i/>
          <w:iCs/>
        </w:rPr>
        <w:t xml:space="preserve">Frontiers in Communication, 7</w:t>
      </w:r>
      <w:r>
        <w:t xml:space="preserve">, 984340. https://doi.org/10.3389/fcomm.2022.984340</w:t>
      </w:r>
    </w:p>
    <w:p>
      <w:pPr>
        <w:spacing w:after="200" w:line="300"/>
        <w:ind w:left="720" w:hanging="720"/>
      </w:pPr>
      <w:r>
        <w:rPr>
          <w:b/>
          <w:bCs/>
        </w:rPr>
        <w:t xml:space="preserve">[BII-07]  </w:t>
      </w:r>
      <w:r>
        <w:t xml:space="preserve">Budiman, A., Anwar, S., Zarkasyi, A., &amp; Lateh, A. (2025). Constructing the Body of Knowledge of Pesantren Education: A Philosophical, Historical, and Curricular Inquiry. </w:t>
      </w:r>
      <w:r>
        <w:rPr>
          <w:i/>
          <w:iCs/>
        </w:rPr>
        <w:t xml:space="preserve">At-Ta'dib, 20</w:t>
      </w:r>
      <w:r>
        <w:t xml:space="preserve">(1), 1–18. https://doi.org/10.21111/attadib.v20i1.14723</w:t>
      </w:r>
    </w:p>
    <w:p>
      <w:pPr>
        <w:spacing w:after="200" w:line="300"/>
        <w:ind w:left="720" w:hanging="720"/>
      </w:pPr>
      <w:r>
        <w:rPr>
          <w:b/>
          <w:bCs/>
        </w:rPr>
        <w:t xml:space="preserve">[BII-08]  </w:t>
      </w:r>
      <w:r>
        <w:t xml:space="preserve">Cahyadi, I., Yunani, A., Dachlan, M., &amp; Suhendra, A. (2025). The Sociology of Knowledge in Pesantren: Sanad, Sorogan-Bandongan, and the Making of Intellectual Authority. </w:t>
      </w:r>
      <w:r>
        <w:rPr>
          <w:i/>
          <w:iCs/>
        </w:rPr>
        <w:t xml:space="preserve">Al-Tahrir: Jurnal Pemikiran Islam, 25</w:t>
      </w:r>
      <w:r>
        <w:t xml:space="preserve">(2), 439–462. https://doi.org/10.21154/altahrir.v25i2.10952</w:t>
      </w:r>
    </w:p>
    <w:p>
      <w:pPr>
        <w:spacing w:after="200" w:line="300"/>
        <w:ind w:left="720" w:hanging="720"/>
      </w:pPr>
      <w:r>
        <w:rPr>
          <w:b/>
          <w:bCs/>
        </w:rPr>
        <w:t xml:space="preserve">[BII-09]  </w:t>
      </w:r>
      <w:r>
        <w:t xml:space="preserve">Dhofier, Z. (2011). </w:t>
      </w:r>
      <w:r>
        <w:rPr>
          <w:i/>
          <w:iCs/>
        </w:rPr>
        <w:t xml:space="preserve">Tradisi Pesantren: Studi Pandangan Hidup Kyai dan Visinya Mengenai Masa Depan Indonesia</w:t>
      </w:r>
      <w:r>
        <w:t xml:space="preserve">. LP3ES. [PERLU VERIFIKASI METADATA – edisi/cetakan]</w:t>
      </w:r>
    </w:p>
    <w:p>
      <w:pPr>
        <w:spacing w:after="200" w:line="300"/>
        <w:ind w:left="720" w:hanging="720"/>
      </w:pPr>
      <w:r>
        <w:rPr>
          <w:b/>
          <w:bCs/>
        </w:rPr>
        <w:t xml:space="preserve">[BII-10]  </w:t>
      </w:r>
      <w:r>
        <w:t xml:space="preserve">Febriani, S. R., Asrori, I., &amp; Sutaman. (2025). Enhancing Arabic Language Proficiency through Nested Curriculum Integration: A Qualitative Case Study at Diniyyah Puteri Padang Panjang, Indonesia. </w:t>
      </w:r>
      <w:r>
        <w:rPr>
          <w:i/>
          <w:iCs/>
        </w:rPr>
        <w:t xml:space="preserve">Jurnal Pendidikan Islam, 14</w:t>
      </w:r>
      <w:r>
        <w:t xml:space="preserve">(1), 129–147. https://doi.org/10.14421/jpi.2025.141.129-147</w:t>
      </w:r>
    </w:p>
    <w:p>
      <w:pPr>
        <w:spacing w:after="200" w:line="300"/>
        <w:ind w:left="720" w:hanging="720"/>
      </w:pPr>
      <w:r>
        <w:rPr>
          <w:b/>
          <w:bCs/>
        </w:rPr>
        <w:t xml:space="preserve">[BII-11]  </w:t>
      </w:r>
      <w:r>
        <w:t xml:space="preserve">Guo, Z., &amp; Fryer, L. K. (2025). What Really Elicits Learners’ Situational Interest in Learning Activities: A Scoping Review of Six Most Commonly Researched Types of Situational Interest Sources in Educational Settings. </w:t>
      </w:r>
      <w:r>
        <w:rPr>
          <w:i/>
          <w:iCs/>
        </w:rPr>
        <w:t xml:space="preserve">Current Psychology, 44</w:t>
      </w:r>
      <w:r>
        <w:t xml:space="preserve">, 587–601. https://doi.org/10.1007/s12144-024-07176-x</w:t>
      </w:r>
    </w:p>
    <w:p>
      <w:pPr>
        <w:spacing w:after="200" w:line="300"/>
        <w:ind w:left="720" w:hanging="720"/>
      </w:pPr>
      <w:r>
        <w:rPr>
          <w:b/>
          <w:bCs/>
        </w:rPr>
        <w:t xml:space="preserve">[BII-12]  </w:t>
      </w:r>
      <w:r>
        <w:t xml:space="preserve">Ilmiani, A. M., Miolo, M. I., Hunainah, &amp; Maghfurin, A. (2022). Building Literacy in Reading Foreign Language Books for Arabic Education Students. </w:t>
      </w:r>
      <w:r>
        <w:rPr>
          <w:i/>
          <w:iCs/>
        </w:rPr>
        <w:t xml:space="preserve">Arabiyat: Jurnal Pendidikan Bahasa Arab dan Kebahasaaraban, 9</w:t>
      </w:r>
      <w:r>
        <w:t xml:space="preserve">(1), 44–55. https://doi.org/10.15408/a.v9i1.20312</w:t>
      </w:r>
    </w:p>
    <w:p>
      <w:pPr>
        <w:spacing w:after="200" w:line="300"/>
        <w:ind w:left="720" w:hanging="720"/>
      </w:pPr>
      <w:r>
        <w:rPr>
          <w:b/>
          <w:bCs/>
        </w:rPr>
        <w:t xml:space="preserve">[BII-13]  </w:t>
      </w:r>
      <w:r>
        <w:t xml:space="preserve">Lai, C., Chen, Q., Wang, Y., &amp; Qi, X. (2024). Individual Interest, Self-Regulation, and Self-Directed Language Learning with Technology Beyond the Classroom. </w:t>
      </w:r>
      <w:r>
        <w:rPr>
          <w:i/>
          <w:iCs/>
        </w:rPr>
        <w:t xml:space="preserve">British Journal of Educational Technology, 55</w:t>
      </w:r>
      <w:r>
        <w:t xml:space="preserve">(1), 379–397. https://doi.org/10.1111/bjet.13366</w:t>
      </w:r>
    </w:p>
    <w:p>
      <w:pPr>
        <w:spacing w:after="200" w:line="300"/>
        <w:ind w:left="720" w:hanging="720"/>
      </w:pPr>
      <w:r>
        <w:rPr>
          <w:b/>
          <w:bCs/>
        </w:rPr>
        <w:t xml:space="preserve">[BII-14]  </w:t>
      </w:r>
      <w:r>
        <w:t xml:space="preserve">Li, J., &amp; Xue, E. (2023). Dynamic Interaction between Student Learning Behaviour and Learning Environment: Meta-Analysis of Student Engagement and Its Influencing Factors. </w:t>
      </w:r>
      <w:r>
        <w:rPr>
          <w:i/>
          <w:iCs/>
        </w:rPr>
        <w:t xml:space="preserve">Behavioral Sciences, 13</w:t>
      </w:r>
      <w:r>
        <w:t xml:space="preserve">(1), 59. https://doi.org/10.3390/bs13010059</w:t>
      </w:r>
    </w:p>
    <w:p>
      <w:pPr>
        <w:spacing w:after="200" w:line="300"/>
        <w:ind w:left="720" w:hanging="720"/>
      </w:pPr>
      <w:r>
        <w:rPr>
          <w:b/>
          <w:bCs/>
        </w:rPr>
        <w:t xml:space="preserve">[BII-15]  </w:t>
      </w:r>
      <w:r>
        <w:t xml:space="preserve">Mirawati, H., Tjahjono, T., Hamami, &amp; Suud, F. M. (2025). Self-Management Strategy of Students in Facing FOMO Challenges and Increasing Social Media Involvement in Islamic Boarding School. </w:t>
      </w:r>
      <w:r>
        <w:rPr>
          <w:i/>
          <w:iCs/>
        </w:rPr>
        <w:t xml:space="preserve">Nazhruna: Jurnal Pendidikan Islam, 8</w:t>
      </w:r>
      <w:r>
        <w:t xml:space="preserve">(1), 1–16. https://doi.org/10.31538/nzh.v8i1.129</w:t>
      </w:r>
    </w:p>
    <w:p>
      <w:pPr>
        <w:spacing w:after="200" w:line="300"/>
        <w:ind w:left="720" w:hanging="720"/>
      </w:pPr>
      <w:r>
        <w:rPr>
          <w:b/>
          <w:bCs/>
        </w:rPr>
        <w:t xml:space="preserve">[BII-16]  </w:t>
      </w:r>
      <w:r>
        <w:t xml:space="preserve">Muhlis, A., Wardi, M. C., Mardhatillah, M., Wahyuningrum, S. R., &amp; Hayatullah, I. K. (2025). Transformation beyond Transgression; Resistance-based System Improvement in Kitab Kuning Reading Acceleration Program. </w:t>
      </w:r>
      <w:r>
        <w:rPr>
          <w:i/>
          <w:iCs/>
        </w:rPr>
        <w:t xml:space="preserve">Nazhruna: Jurnal Pendidikan Islam, 8</w:t>
      </w:r>
      <w:r>
        <w:t xml:space="preserve">(3), 535–549. https://doi.org/10.31538/nzh.v8i3.214</w:t>
      </w:r>
    </w:p>
    <w:p>
      <w:pPr>
        <w:spacing w:after="200" w:line="300"/>
        <w:ind w:left="720" w:hanging="720"/>
      </w:pPr>
      <w:r>
        <w:rPr>
          <w:b/>
          <w:bCs/>
        </w:rPr>
        <w:t xml:space="preserve">[BII-17]  </w:t>
      </w:r>
      <w:r>
        <w:t xml:space="preserve">Nashihin, M. I., Majeed, M. K., Derysmono, Armadi, A., &amp; Syukur, A. (2025). The Role of Pesantren Culture in Developing Academic Character: A Study on the Positive Impact of the Cultural Environment at Pesantren Luhur Sabilussalam. </w:t>
      </w:r>
      <w:r>
        <w:rPr>
          <w:i/>
          <w:iCs/>
        </w:rPr>
        <w:t xml:space="preserve">Mimbar Agama Budaya, 42</w:t>
      </w:r>
      <w:r>
        <w:t xml:space="preserve">(1), 89–105. https://doi.org/10.15408/mimbar.v42i1.45255</w:t>
      </w:r>
    </w:p>
    <w:p>
      <w:pPr>
        <w:spacing w:after="200" w:line="300"/>
        <w:ind w:left="720" w:hanging="720"/>
      </w:pPr>
      <w:r>
        <w:rPr>
          <w:b/>
          <w:bCs/>
        </w:rPr>
        <w:t xml:space="preserve">[BII-18]  </w:t>
      </w:r>
      <w:r>
        <w:t xml:space="preserve">Ramadhan, M. A., Santosa, S., Ahmad, H., &amp; Abror, M. B. A.-M. (2026). A Living Hadith Analysis of Thalab al-‘Ilm in Shaping Students’ Learning Ethos in Indonesian Islamic Schools. </w:t>
      </w:r>
      <w:r>
        <w:rPr>
          <w:i/>
          <w:iCs/>
        </w:rPr>
        <w:t xml:space="preserve">EDUKASI: Jurnal Penelitian Pendidikan Agama dan Keagamaan, 24</w:t>
      </w:r>
      <w:r>
        <w:t xml:space="preserve">(1), 181–195. https://doi.org/10.32729/edukasi.v24i1.2426 [PERLU VERIFIKASI METADATA – status publikasi]</w:t>
      </w:r>
    </w:p>
    <w:p>
      <w:pPr>
        <w:spacing w:after="200" w:line="300"/>
        <w:ind w:left="720" w:hanging="720"/>
      </w:pPr>
      <w:r>
        <w:rPr>
          <w:b/>
          <w:bCs/>
        </w:rPr>
        <w:t xml:space="preserve">[BII-19]  </w:t>
      </w:r>
      <w:r>
        <w:t xml:space="preserve">Ridwan, A. I., Alim, A., &amp; Alkattini, A. H. (2024). Pengembangan Maharotul Qiroah dalam pembelajaran bahasa Arab di Madrasah Aliyah Negeri 4 Bogor. </w:t>
      </w:r>
      <w:r>
        <w:rPr>
          <w:i/>
          <w:iCs/>
        </w:rPr>
        <w:t xml:space="preserve">Tawazun: Jurnal Pendidikan Islam, 17</w:t>
      </w:r>
      <w:r>
        <w:t xml:space="preserve">(1), 202–226. https://doi.org/10.32832/tawazun.v17i1.15954</w:t>
      </w:r>
    </w:p>
    <w:p>
      <w:pPr>
        <w:spacing w:after="200" w:line="300"/>
        <w:ind w:left="720" w:hanging="720"/>
      </w:pPr>
      <w:r>
        <w:rPr>
          <w:b/>
          <w:bCs/>
        </w:rPr>
        <w:t xml:space="preserve">[BII-20]  </w:t>
      </w:r>
      <w:r>
        <w:t xml:space="preserve">Shalihah, S., Nisa, U., &amp; Yani, A. (2023). Implementation of Inquiry Learning Method in Maharah al-Qiro’ah. </w:t>
      </w:r>
      <w:r>
        <w:rPr>
          <w:i/>
          <w:iCs/>
        </w:rPr>
        <w:t xml:space="preserve">Jurnal Al Bayan: Jurnal Jurusan Pendidikan Bahasa Arab, 15</w:t>
      </w:r>
      <w:r>
        <w:t xml:space="preserve">(2), 454–471. https://doi.org/10.24042/albayan.v15i2.16627</w:t>
      </w:r>
    </w:p>
    <w:p>
      <w:pPr>
        <w:spacing w:after="200" w:line="300"/>
        <w:ind w:left="720" w:hanging="720"/>
      </w:pPr>
      <w:r>
        <w:rPr>
          <w:b/>
          <w:bCs/>
        </w:rPr>
        <w:t xml:space="preserve">[BII-21]  </w:t>
      </w:r>
      <w:r>
        <w:t xml:space="preserve">Syafei, I., Suleman, E., &amp; Rohanda. (2024). The Development of Student Reading Skills in Arabic for Reading Islamic Classical Books Using the Arabic Learning Model at Indonesian Islamic Boarding Schools. </w:t>
      </w:r>
      <w:r>
        <w:rPr>
          <w:i/>
          <w:iCs/>
        </w:rPr>
        <w:t xml:space="preserve">Theory and Practice in Language Studies, 14</w:t>
      </w:r>
      <w:r>
        <w:t xml:space="preserve">(5), 1381–1392. https://doi.org/10.17507/tpls.1405.10</w:t>
      </w:r>
    </w:p>
    <w:p>
      <w:pPr>
        <w:spacing w:after="200" w:line="300"/>
        <w:ind w:left="720" w:hanging="720"/>
      </w:pPr>
      <w:r>
        <w:rPr>
          <w:b/>
          <w:bCs/>
        </w:rPr>
        <w:t xml:space="preserve">[BII-22]  </w:t>
      </w:r>
      <w:r>
        <w:t xml:space="preserve">Syaifudin, M., Musadad, A., Fauzi, A. Z., Zahro, U. I., Nahidloh, S., &amp; Pujiati, T. (2025). The Role of Al-Miftah lil Ulum Method in Enhancing Santri's Contextual Kitab Kuning Literacy Competence. </w:t>
      </w:r>
      <w:r>
        <w:rPr>
          <w:i/>
          <w:iCs/>
        </w:rPr>
        <w:t xml:space="preserve">Scaffolding: Jurnal Pendidikan Islam dan Multikulturalisme, 7</w:t>
      </w:r>
      <w:r>
        <w:t xml:space="preserve">(3), 106–123. https://doi.org/10.37680/scaffolding.v7i3.7865</w:t>
      </w:r>
    </w:p>
    <w:p>
      <w:pPr>
        <w:spacing w:after="200" w:line="300"/>
        <w:ind w:left="720" w:hanging="720"/>
      </w:pPr>
      <w:r>
        <w:rPr>
          <w:b/>
          <w:bCs/>
        </w:rPr>
        <w:t xml:space="preserve">[BII-23]  </w:t>
      </w:r>
      <w:r>
        <w:t xml:space="preserve">Syukri, S., Amir, S. M., Fitriani, &amp; Pane, S. (2024). Integration of Islamic Values with Environmental Ethics in Pesantren Education: A Case Study at Darularafah Raya Pesantren. </w:t>
      </w:r>
      <w:r>
        <w:rPr>
          <w:i/>
          <w:iCs/>
        </w:rPr>
        <w:t xml:space="preserve">Jurnal Pendidikan Islam, 13</w:t>
      </w:r>
      <w:r>
        <w:t xml:space="preserve">(1), 1–12. https://doi.org/10.14421/jpi.2024.131.1-12</w:t>
      </w:r>
    </w:p>
    <w:p>
      <w:pPr>
        <w:spacing w:after="200" w:line="300"/>
        <w:ind w:left="720" w:hanging="720"/>
      </w:pPr>
      <w:r>
        <w:rPr>
          <w:b/>
          <w:bCs/>
        </w:rPr>
        <w:t xml:space="preserve">[BII-24]  </w:t>
      </w:r>
      <w:r>
        <w:t xml:space="preserve">Vargas-Madriz, L. F., Konishi, C., &amp; Wong, T. K. (2024). A Meta-analysis of the Association between Teacher Support and School Engagement. </w:t>
      </w:r>
      <w:r>
        <w:rPr>
          <w:i/>
          <w:iCs/>
        </w:rPr>
        <w:t xml:space="preserve">Social Development, 33</w:t>
      </w:r>
      <w:r>
        <w:t xml:space="preserve">(4), e12745. https://doi.org/10.1111/sode.12745</w:t>
      </w:r>
    </w:p>
    <w:p>
      <w:pPr>
        <w:spacing w:after="200" w:line="300"/>
        <w:ind w:left="720" w:hanging="720"/>
      </w:pPr>
      <w:r>
        <w:rPr>
          <w:b/>
          <w:bCs/>
        </w:rPr>
        <w:t xml:space="preserve">[BII-25]  </w:t>
      </w:r>
      <w:r>
        <w:t xml:space="preserve">Villarreal Arroyo, Y. P., Peñabaena-Niebles, R., &amp; Berdugo Correa, C. (2023). Influence of Environmental Conditions on Students’ Learning Processes: A Systematic Review. </w:t>
      </w:r>
      <w:r>
        <w:rPr>
          <w:i/>
          <w:iCs/>
        </w:rPr>
        <w:t xml:space="preserve">Building and Environment, 231</w:t>
      </w:r>
      <w:r>
        <w:t xml:space="preserve">, 110051. https://doi.org/10.1016/j.buildenv.2023.110051</w:t>
      </w:r>
    </w:p>
    <w:p>
      <w:pPr>
        <w:spacing w:after="100"/>
      </w:pPr>
    </w:p>
    <w:p>
      <w:pPr>
        <w:spacing w:after="200" w:line="360"/>
        <w:jc w:val="both"/>
      </w:pPr>
      <w:r>
        <w:t xml:space="preserve">Catatan audit: 12 dari 25 sumber di atas (BII-01, BII-04, BII-06, BII-07, BII-11, BII-12, BII-14, BII-15, BII-17, BII-18, BII-21, BII-25) juga digunakan pada BAB I, sehingga jumlah kumulatif sumber unik BAB I–II tercatat 26. Status audit sitasi teks BAB II: LOCKED.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BAB II – Kajian Teori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2026-09-05T13:13:30.271Z</dcterms:created>
  <dcterms:modified xsi:type="dcterms:W3CDTF">2026-09-05T13:13:30.283Z</dcterms:modified>
</cp:coreProperties>
</file>

<file path=docProps/custom.xml><?xml version="1.0" encoding="utf-8"?>
<Properties xmlns="http://schemas.openxmlformats.org/officeDocument/2006/custom-properties" xmlns:vt="http://schemas.openxmlformats.org/officeDocument/2006/docPropsVTypes"/>
</file>