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BAB I</w:t>
      </w:r>
    </w:p>
    <w:p>
      <w:pPr>
        <w:spacing w:after="240"/>
        <w:jc w:val="center"/>
      </w:pPr>
      <w:r>
        <w:rPr>
          <w:rFonts w:ascii="Times New Roman" w:cs="Times New Roman" w:eastAsia="Times New Roman" w:hAnsi="Times New Roman"/>
          <w:b/>
          <w:bCs/>
          <w:sz w:val="28"/>
          <w:szCs w:val="28"/>
        </w:rPr>
        <w:t xml:space="preserve">PENDAHULUAN</w:t>
      </w:r>
    </w:p>
    <w:p>
      <w:pPr>
        <w:spacing w:after="120"/>
      </w:pPr>
    </w:p>
    <w:p>
      <w:pPr>
        <w:spacing w:after="240" w:before="240" w:line="480"/>
        <w:jc w:val="left"/>
      </w:pPr>
      <w:r>
        <w:rPr>
          <w:rFonts w:ascii="Times New Roman" w:cs="Times New Roman" w:eastAsia="Times New Roman" w:hAnsi="Times New Roman"/>
          <w:b/>
          <w:bCs/>
          <w:sz w:val="24"/>
          <w:szCs w:val="24"/>
        </w:rPr>
        <w:t xml:space="preserve">A. Konteks Penelitian</w:t>
      </w:r>
    </w:p>
    <w:p>
      <w:pPr>
        <w:spacing w:after="240" w:line="480"/>
        <w:ind w:firstLine="720"/>
        <w:jc w:val="both"/>
      </w:pPr>
      <w:r>
        <w:rPr>
          <w:rFonts w:ascii="Times New Roman" w:cs="Times New Roman" w:eastAsia="Times New Roman" w:hAnsi="Times New Roman"/>
          <w:sz w:val="24"/>
          <w:szCs w:val="24"/>
        </w:rPr>
        <w:t xml:space="preserve">Pendidikan pesantren menempati posisi strategis dalam sistem pendidikan keagamaan Indonesia. Berdasarkan data Kementerian Agama Republik Indonesia (2025) dengan cut-off </w:t>
      </w:r>
      <w:r>
        <w:rPr>
          <w:rFonts w:ascii="Times New Roman" w:cs="Times New Roman" w:eastAsia="Times New Roman" w:hAnsi="Times New Roman"/>
          <w:i/>
          <w:iCs/>
          <w:sz w:val="24"/>
          <w:szCs w:val="24"/>
        </w:rPr>
        <w:t xml:space="preserve">Education Management Information System</w:t>
      </w:r>
      <w:r>
        <w:rPr>
          <w:rFonts w:ascii="Times New Roman" w:cs="Times New Roman" w:eastAsia="Times New Roman" w:hAnsi="Times New Roman"/>
          <w:sz w:val="24"/>
          <w:szCs w:val="24"/>
        </w:rPr>
        <w:t xml:space="preserve"> (EMIS) Juli 2024, tercatat 41.286 pesantren yang tersebar di seluruh Indonesia, menaungi 3.339.536 santri, serta didukung oleh 284.662 pendidik dan tenaga kependidikan. Data tersebut menunjukkan bahwa pesantren bukan sekadar lembaga pendidikan keagamaan tradisional, melainkan bagian integral dari ekosistem pendidikan nasional yang menjangkau jutaan peserta didik.</w:t>
      </w:r>
    </w:p>
    <w:p>
      <w:pPr>
        <w:spacing w:after="240" w:line="480"/>
        <w:ind w:firstLine="720"/>
        <w:jc w:val="both"/>
      </w:pPr>
      <w:r>
        <w:rPr>
          <w:rFonts w:ascii="Times New Roman" w:cs="Times New Roman" w:eastAsia="Times New Roman" w:hAnsi="Times New Roman"/>
          <w:sz w:val="24"/>
          <w:szCs w:val="24"/>
        </w:rPr>
        <w:t xml:space="preserve">Salah satu ciri khas pembelajaran di pesantren adalah pengkajian kitab turats yang dalam konteks pesantren Indonesia berkaitan erat dengan tradisi kitab kuning. Kitab turats merupakan bagian dari tradisi intelektual Islam yang tetap dipertahankan dalam pendidikan berbasis pesantren; salah satu kajian mutakhir bahkan menunjukkan pengembangannya melalui model </w:t>
      </w:r>
      <w:r>
        <w:rPr>
          <w:rFonts w:ascii="Times New Roman" w:cs="Times New Roman" w:eastAsia="Times New Roman" w:hAnsi="Times New Roman"/>
          <w:i/>
          <w:iCs/>
          <w:sz w:val="24"/>
          <w:szCs w:val="24"/>
        </w:rPr>
        <w:t xml:space="preserve">contextual literacy learning</w:t>
      </w:r>
      <w:r>
        <w:rPr>
          <w:rFonts w:ascii="Times New Roman" w:cs="Times New Roman" w:eastAsia="Times New Roman" w:hAnsi="Times New Roman"/>
          <w:sz w:val="24"/>
          <w:szCs w:val="24"/>
        </w:rPr>
        <w:t xml:space="preserve"> pada konteks pendidikan tinggi berbasis pesantren (Arif, Nasir, &amp; Ma'arif, 2025). Banyak kitab turats yang dipelajari dalam tradisi pesantren disajikan tanpa harakat sehingga pembaca memerlukan penguasaan unsur kebahasaan dan kemampuan memahami struktur teks. Kondisi tersebut menjadikan penguasaan unsur kebahasaan, termasuk nahwu dan sharaf, serta kemampuan memahami teks sebagai bagian penting dalam pembacaan kitab turats.</w:t>
      </w:r>
    </w:p>
    <w:p>
      <w:pPr>
        <w:spacing w:after="240" w:line="480"/>
        <w:ind w:firstLine="720"/>
        <w:jc w:val="both"/>
      </w:pPr>
      <w:r>
        <w:rPr>
          <w:rFonts w:ascii="Times New Roman" w:cs="Times New Roman" w:eastAsia="Times New Roman" w:hAnsi="Times New Roman"/>
          <w:sz w:val="24"/>
          <w:szCs w:val="24"/>
        </w:rPr>
        <w:t xml:space="preserve">Selain aspek kebahasaan, minat belajar merupakan salah satu aspek yang relevan untuk memahami bagaimana santri berinteraksi dan terlibat dengan aktivitas pembelajaran kitab turats. Dalam kajian pendidikan mutakhir, </w:t>
      </w:r>
      <w:r>
        <w:rPr>
          <w:rFonts w:ascii="Times New Roman" w:cs="Times New Roman" w:eastAsia="Times New Roman" w:hAnsi="Times New Roman"/>
          <w:i/>
          <w:iCs/>
          <w:sz w:val="24"/>
          <w:szCs w:val="24"/>
        </w:rPr>
        <w:t xml:space="preserve">situational interest</w:t>
      </w:r>
      <w:r>
        <w:rPr>
          <w:rFonts w:ascii="Times New Roman" w:cs="Times New Roman" w:eastAsia="Times New Roman" w:hAnsi="Times New Roman"/>
          <w:sz w:val="24"/>
          <w:szCs w:val="24"/>
        </w:rPr>
        <w:t xml:space="preserve"> dipahami sebagai ketertarikan yang muncul dan berkembang melalui interaksi peserta didik dengan aktivitas belajar, yang dapat dipicu oleh sejumlah faktor seperti relevansi/kebermaknaan, kebaruan, aktivasi kognitif, interaksi sosial, tingkat aktivitas, dan ketersediaan pilihan dalam proses belajar (Guo &amp; Fryer, 2025). </w:t>
      </w:r>
      <w:r>
        <w:rPr>
          <w:rFonts w:ascii="Times New Roman" w:cs="Times New Roman" w:eastAsia="Times New Roman" w:hAnsi="Times New Roman"/>
          <w:i/>
          <w:iCs/>
          <w:sz w:val="24"/>
          <w:szCs w:val="24"/>
        </w:rPr>
        <w:t xml:space="preserve">Interest</w:t>
      </w:r>
      <w:r>
        <w:rPr>
          <w:rFonts w:ascii="Times New Roman" w:cs="Times New Roman" w:eastAsia="Times New Roman" w:hAnsi="Times New Roman"/>
          <w:sz w:val="24"/>
          <w:szCs w:val="24"/>
        </w:rPr>
        <w:t xml:space="preserve">, motivasi, dan </w:t>
      </w:r>
      <w:r>
        <w:rPr>
          <w:rFonts w:ascii="Times New Roman" w:cs="Times New Roman" w:eastAsia="Times New Roman" w:hAnsi="Times New Roman"/>
          <w:i/>
          <w:iCs/>
          <w:sz w:val="24"/>
          <w:szCs w:val="24"/>
        </w:rPr>
        <w:t xml:space="preserve">engagement</w:t>
      </w:r>
      <w:r>
        <w:rPr>
          <w:rFonts w:ascii="Times New Roman" w:cs="Times New Roman" w:eastAsia="Times New Roman" w:hAnsi="Times New Roman"/>
          <w:sz w:val="24"/>
          <w:szCs w:val="24"/>
        </w:rPr>
        <w:t xml:space="preserve"> merupakan konstruk yang saling berkaitan namun tidak dapat disamakan begitu saja, karena masing-masing memiliki penekanan konseptual yang berbeda dalam literatur psikologi pendidikan. Dukungan pendidik turut diasosiasikan dengan tingkat keterlibatan (</w:t>
      </w:r>
      <w:r>
        <w:rPr>
          <w:rFonts w:ascii="Times New Roman" w:cs="Times New Roman" w:eastAsia="Times New Roman" w:hAnsi="Times New Roman"/>
          <w:i/>
          <w:iCs/>
          <w:sz w:val="24"/>
          <w:szCs w:val="24"/>
        </w:rPr>
        <w:t xml:space="preserve">engagement</w:t>
      </w:r>
      <w:r>
        <w:rPr>
          <w:rFonts w:ascii="Times New Roman" w:cs="Times New Roman" w:eastAsia="Times New Roman" w:hAnsi="Times New Roman"/>
          <w:sz w:val="24"/>
          <w:szCs w:val="24"/>
        </w:rPr>
        <w:t xml:space="preserve">) peserta didik dalam proses belajar, baik dalam bentuk dukungan informasional, instrumental, </w:t>
      </w:r>
      <w:r>
        <w:rPr>
          <w:rFonts w:ascii="Times New Roman" w:cs="Times New Roman" w:eastAsia="Times New Roman" w:hAnsi="Times New Roman"/>
          <w:i/>
          <w:iCs/>
          <w:sz w:val="24"/>
          <w:szCs w:val="24"/>
        </w:rPr>
        <w:t xml:space="preserve">appraisal</w:t>
      </w:r>
      <w:r>
        <w:rPr>
          <w:rFonts w:ascii="Times New Roman" w:cs="Times New Roman" w:eastAsia="Times New Roman" w:hAnsi="Times New Roman"/>
          <w:sz w:val="24"/>
          <w:szCs w:val="24"/>
        </w:rPr>
        <w:t xml:space="preserve">, maupun emosional (Vargas-Madriz, Konishi, &amp; Wong, 2024). Meskipun kajian tersebut tidak dilaksanakan pada konteks pesantren, temuan ini memberikan landasan untuk memahami pentingnya relasi antara ustaz dan santri dalam mendukung proses pembelajaran kitab turats.</w:t>
      </w:r>
    </w:p>
    <w:p>
      <w:pPr>
        <w:spacing w:after="240" w:line="480"/>
        <w:ind w:firstLine="720"/>
        <w:jc w:val="both"/>
      </w:pPr>
      <w:r>
        <w:rPr>
          <w:rFonts w:ascii="Times New Roman" w:cs="Times New Roman" w:eastAsia="Times New Roman" w:hAnsi="Times New Roman"/>
          <w:sz w:val="24"/>
          <w:szCs w:val="24"/>
        </w:rPr>
        <w:t xml:space="preserve">Dari sisi lingkungan fisik, kondisi ruang belajar seperti kenyamanan termal, pencahayaan, dan kualitas akustik berkaitan dengan proses belajar peserta didik, sebagaimana ditunjukkan dalam tinjauan sistematis mengenai pengaruh kondisi lingkungan terhadap proses belajar (Villarreal Arroyo, Peñabaena-Niebles, &amp; Berdugo Correa, 2023). Prinsip tersebut relevan sebagai fondasi umum bagi pemahaman dimensi fisik lingkungan pembelajaran pesantren, meskipun kajian dimaksud tidak dilaksanakan pada lembaga pesantren. Pembangunan literasi membaca, termasuk pemberian referensi, pembiasaan aktivitas membaca, dan pendampingan, juga merupakan bagian penting dalam pengembangan kemampuan membaca bahasa asing, sebagaimana ditunjukkan dalam kajian literasi membaca pada mahasiswa pendidikan bahasa Arab (Ilmiani, Miolo, Hunainah, &amp; Maghfurin, 2022). Kajian tersebut turut mengidentifikasi sejumlah hambatan seperti fokus, kelelahan, dan kebosanan dalam konteks penelitian mereka, yang tidak serta-merta dapat disamakan dengan kondisi santri dalam penelitian ini, namun memberikan gambaran umum mengenai tantangan dalam pembinaan literasi membaca.</w:t>
      </w:r>
    </w:p>
    <w:p>
      <w:pPr>
        <w:spacing w:after="240" w:line="480"/>
        <w:ind w:firstLine="720"/>
        <w:jc w:val="both"/>
      </w:pPr>
      <w:r>
        <w:rPr>
          <w:rFonts w:ascii="Times New Roman" w:cs="Times New Roman" w:eastAsia="Times New Roman" w:hAnsi="Times New Roman"/>
          <w:sz w:val="24"/>
          <w:szCs w:val="24"/>
        </w:rPr>
        <w:t xml:space="preserve">Perkembangan media sosial dan keterlibatan digital dapat menjadi salah satu tantangan kontekstual dalam pengelolaan perhatian dan aktivitas belajar sebagian santri. Fenomena </w:t>
      </w:r>
      <w:r>
        <w:rPr>
          <w:rFonts w:ascii="Times New Roman" w:cs="Times New Roman" w:eastAsia="Times New Roman" w:hAnsi="Times New Roman"/>
          <w:i/>
          <w:iCs/>
          <w:sz w:val="24"/>
          <w:szCs w:val="24"/>
        </w:rPr>
        <w:t xml:space="preserve">fear of missing out</w:t>
      </w:r>
      <w:r>
        <w:rPr>
          <w:rFonts w:ascii="Times New Roman" w:cs="Times New Roman" w:eastAsia="Times New Roman" w:hAnsi="Times New Roman"/>
          <w:sz w:val="24"/>
          <w:szCs w:val="24"/>
        </w:rPr>
        <w:t xml:space="preserve"> (FOMO) yang berkaitan dengan keterlibatan media sosial di lingkungan pesantren memerlukan strategi pengelolaan diri dari peserta didik, sebagaimana dikemukakan dalam kajian mengenai strategi </w:t>
      </w:r>
      <w:r>
        <w:rPr>
          <w:rFonts w:ascii="Times New Roman" w:cs="Times New Roman" w:eastAsia="Times New Roman" w:hAnsi="Times New Roman"/>
          <w:i/>
          <w:iCs/>
          <w:sz w:val="24"/>
          <w:szCs w:val="24"/>
        </w:rPr>
        <w:t xml:space="preserve">self-management</w:t>
      </w:r>
      <w:r>
        <w:rPr>
          <w:rFonts w:ascii="Times New Roman" w:cs="Times New Roman" w:eastAsia="Times New Roman" w:hAnsi="Times New Roman"/>
          <w:sz w:val="24"/>
          <w:szCs w:val="24"/>
        </w:rPr>
        <w:t xml:space="preserve"> santri dalam menghadapi tantangan FOMO (Mirawati, Tjahjono, Hamami, &amp; Suud, 2025). Tantangan tersebut tidak dapat digeneralisasikan kepada seluruh santri, tetapi memberikan gambaran mengenai salah satu dinamika kontekstual yang dihadapi sebagian santri di era digital. Dari sisi religius, konsep </w:t>
      </w:r>
      <w:r>
        <w:rPr>
          <w:rFonts w:ascii="Times New Roman" w:cs="Times New Roman" w:eastAsia="Times New Roman" w:hAnsi="Times New Roman"/>
          <w:i/>
          <w:iCs/>
          <w:sz w:val="24"/>
          <w:szCs w:val="24"/>
        </w:rPr>
        <w:t xml:space="preserve">thalab al-'ilm</w:t>
      </w:r>
      <w:r>
        <w:rPr>
          <w:rFonts w:ascii="Times New Roman" w:cs="Times New Roman" w:eastAsia="Times New Roman" w:hAnsi="Times New Roman"/>
          <w:sz w:val="24"/>
          <w:szCs w:val="24"/>
        </w:rPr>
        <w:t xml:space="preserve"> (menuntut ilmu) menjadi salah satu nilai yang membentuk </w:t>
      </w:r>
      <w:r>
        <w:rPr>
          <w:rFonts w:ascii="Times New Roman" w:cs="Times New Roman" w:eastAsia="Times New Roman" w:hAnsi="Times New Roman"/>
          <w:i/>
          <w:iCs/>
          <w:sz w:val="24"/>
          <w:szCs w:val="24"/>
        </w:rPr>
        <w:t xml:space="preserve">ethos</w:t>
      </w:r>
      <w:r>
        <w:rPr>
          <w:rFonts w:ascii="Times New Roman" w:cs="Times New Roman" w:eastAsia="Times New Roman" w:hAnsi="Times New Roman"/>
          <w:sz w:val="24"/>
          <w:szCs w:val="24"/>
        </w:rPr>
        <w:t xml:space="preserve"> belajar peserta didik dalam pendidikan Islam, sebagaimana ditelusuri melalui analisis </w:t>
      </w:r>
      <w:r>
        <w:rPr>
          <w:rFonts w:ascii="Times New Roman" w:cs="Times New Roman" w:eastAsia="Times New Roman" w:hAnsi="Times New Roman"/>
          <w:i/>
          <w:iCs/>
          <w:sz w:val="24"/>
          <w:szCs w:val="24"/>
        </w:rPr>
        <w:t xml:space="preserve">living hadith</w:t>
      </w:r>
      <w:r>
        <w:rPr>
          <w:rFonts w:ascii="Times New Roman" w:cs="Times New Roman" w:eastAsia="Times New Roman" w:hAnsi="Times New Roman"/>
          <w:sz w:val="24"/>
          <w:szCs w:val="24"/>
        </w:rPr>
        <w:t xml:space="preserve"> mengenai </w:t>
      </w:r>
      <w:r>
        <w:rPr>
          <w:rFonts w:ascii="Times New Roman" w:cs="Times New Roman" w:eastAsia="Times New Roman" w:hAnsi="Times New Roman"/>
          <w:i/>
          <w:iCs/>
          <w:sz w:val="24"/>
          <w:szCs w:val="24"/>
        </w:rPr>
        <w:t xml:space="preserve">thalab al-'ilm</w:t>
      </w:r>
      <w:r>
        <w:rPr>
          <w:rFonts w:ascii="Times New Roman" w:cs="Times New Roman" w:eastAsia="Times New Roman" w:hAnsi="Times New Roman"/>
          <w:sz w:val="24"/>
          <w:szCs w:val="24"/>
        </w:rPr>
        <w:t xml:space="preserve"> dalam membentuk ethos belajar peserta didik di lembaga pendidikan Islam Indonesia (Ramadhan, Santosa, Ahmad, &amp; Abror, 2026). Meskipun setting kajian tersebut adalah sekolah Islam dan bukan kedua pesantren yang menjadi lokasi penelitian ini, konsep tersebut memberikan penguatan teoretis bagi pemahaman dimensi religius dalam lingkungan pembelajaran pesantren.</w:t>
      </w:r>
    </w:p>
    <w:p>
      <w:pPr>
        <w:spacing w:after="240" w:line="480"/>
        <w:ind w:firstLine="720"/>
        <w:jc w:val="both"/>
      </w:pPr>
      <w:r>
        <w:rPr>
          <w:rFonts w:ascii="Times New Roman" w:cs="Times New Roman" w:eastAsia="Times New Roman" w:hAnsi="Times New Roman"/>
          <w:sz w:val="24"/>
          <w:szCs w:val="24"/>
        </w:rPr>
        <w:t xml:space="preserve">Bertolak dari uraian di atas, lingkungan pembelajaran pesantren dalam penelitian ini dipahami melalui empat dimensi analitis, yaitu dimensi fisik, akademik, sosial, dan religius. Keempat dimensi tersebut merupakan kerangka analitis hasil sintesis peneliti dari literatur lingkungan pembelajaran dan pendidikan pesantren yang telah diuraikan, bukan teori tunggal yang diklaim berasal dari satu ahli tertentu. Dimensi fisik diperkuat melalui kajian mengenai kondisi lingkungan fisik ruang belajar (Villarreal Arroyo, Peñabaena-Niebles, &amp; Berdugo Correa, 2023); dimensi akademik diperkuat melalui kajian pembelajaran dan model kitab turats/kitab kuning (Amrullah &amp; Mutholingah, 2025; Arif, Nasir, &amp; Ma'arif, 2025); dimensi sosial diperkuat melalui kajian dukungan pendidik terhadap keterlibatan peserta didik (Vargas-Madriz, Konishi, &amp; Wong, 2024); dan dimensi religius diperkuat melalui kajian mengenai </w:t>
      </w:r>
      <w:r>
        <w:rPr>
          <w:rFonts w:ascii="Times New Roman" w:cs="Times New Roman" w:eastAsia="Times New Roman" w:hAnsi="Times New Roman"/>
          <w:i/>
          <w:iCs/>
          <w:sz w:val="24"/>
          <w:szCs w:val="24"/>
        </w:rPr>
        <w:t xml:space="preserve">thalab al-'ilm</w:t>
      </w:r>
      <w:r>
        <w:rPr>
          <w:rFonts w:ascii="Times New Roman" w:cs="Times New Roman" w:eastAsia="Times New Roman" w:hAnsi="Times New Roman"/>
          <w:sz w:val="24"/>
          <w:szCs w:val="24"/>
        </w:rPr>
        <w:t xml:space="preserve"> dalam ethos belajar peserta didik pendidikan Islam (Ramadhan, Santosa, Ahmad, &amp; Abror, 2026). Budaya pesantren, yang mencakup kebiasaan, tradisi, nilai, kedisiplinan, dan orientasi belajar, dipahami dalam penelitian ini sebagai konteks yang menghubungkan dan mewarnai keempat dimensi lingkungan pembelajaran, bukan sebagai dimensi kelima yang berdiri sendiri. Posisi tersebut merupakan sintesis analitis penelitian yang diperkuat oleh kajian mutakhir mengenai peran kultur dan lingkungan pesantren dalam pembentukan karakter akademik serta kajian mengenai struktur filosofis, historis, dan kurikuler pendidikan pesantren (Nashihin et al., 2025; Budiman et al., 2025).</w:t>
      </w:r>
    </w:p>
    <w:p>
      <w:pPr>
        <w:spacing w:after="240" w:line="480"/>
        <w:ind w:firstLine="720"/>
        <w:jc w:val="both"/>
      </w:pPr>
      <w:r>
        <w:rPr>
          <w:rFonts w:ascii="Times New Roman" w:cs="Times New Roman" w:eastAsia="Times New Roman" w:hAnsi="Times New Roman"/>
          <w:sz w:val="24"/>
          <w:szCs w:val="24"/>
        </w:rPr>
        <w:t xml:space="preserve">Lingkungan pembelajaran diposisikan bukan sekadar sebagai latar berlangsungnya pendidikan, tetapi sebagai kondisi yang dibentuk dan dikelola melalui berbagai praktik kelembagaan pesantren. Dalam kaitan ini, strategi lingkungan pembelajaran dipahami sebagai upaya kelembagaan yang terarah dalam mengelola dimensi fisik, akademik, sosial, dan religius guna memberikan ruang bagi tumbuhnya minat belajar kitab turats dan berkembangnya maharah qira'ah santri.</w:t>
      </w:r>
    </w:p>
    <w:p>
      <w:pPr>
        <w:spacing w:after="240" w:line="480"/>
        <w:ind w:firstLine="720"/>
        <w:jc w:val="both"/>
      </w:pPr>
      <w:r>
        <w:rPr>
          <w:rFonts w:ascii="Times New Roman" w:cs="Times New Roman" w:eastAsia="Times New Roman" w:hAnsi="Times New Roman"/>
          <w:sz w:val="24"/>
          <w:szCs w:val="24"/>
        </w:rPr>
        <w:t xml:space="preserve">Penelitian ini dilaksanakan pada dua situs pesantren yang memiliki karakteristik kelembagaan berbeda, yaitu Pondok Pesantren An-Najiyah II Bahrul Ulum, Jombang, Jawa Timur dan Pondok Pesantren Asy-Syafa'ah, Karawang, Jawa Barat. Pada Situs 1, strategi lingkungan pembelajaran diwujudkan antara lain melalui Target Bacaan Mingguan yang terarah dan terstruktur, Forum Mudzakarah Ilmiyyah, Belajar Malam Wajib, serta pembelajaran melalui sorogan dan bandongan/wetonan. Pada Situs 2, strategi lingkungan pembelajaran diwujudkan antara lain melalui Zona Literasi Turats, pembinaan membaca kitab secara bertahap berdasarkan kemampuan santri, serta Lomba Literasi Turats. Perbedaan pola strategi kelembagaan pada kedua situs memberikan ruang bagi penelitian ini untuk menelaah variasi implementasi strategi lingkungan pembelajaran dalam konteks yang berbeda.</w:t>
      </w:r>
    </w:p>
    <w:p>
      <w:pPr>
        <w:spacing w:after="240" w:line="480"/>
        <w:ind w:firstLine="720"/>
        <w:jc w:val="both"/>
      </w:pPr>
      <w:r>
        <w:rPr>
          <w:rFonts w:ascii="Times New Roman" w:cs="Times New Roman" w:eastAsia="Times New Roman" w:hAnsi="Times New Roman"/>
          <w:sz w:val="24"/>
          <w:szCs w:val="24"/>
        </w:rPr>
        <w:t xml:space="preserve">Dalam kerangka konseptual penelitian ini, minat belajar kitab turats dan perkembangan maharah qira'ah ditempatkan dalam hubungan yang dinamis dan berpotensi resiprokal. Keterlibatan santri dengan kitab menyediakan kesempatan untuk membaca dan berlatih, sedangkan pengalaman membaca dan memahami teks dapat berkaitan dengan keterlibatan berikutnya. Hubungan tersebut diposisikan sebagai kerangka interpretatif yang kemudian dibaca melalui data kualitatif, bukan sebagai hubungan sebab-akibat yang diasumsikan atau diuji secara eksperimental.</w:t>
      </w:r>
    </w:p>
    <w:p>
      <w:pPr>
        <w:spacing w:after="240" w:line="480"/>
        <w:ind w:firstLine="720"/>
        <w:jc w:val="both"/>
      </w:pPr>
      <w:r>
        <w:rPr>
          <w:rFonts w:ascii="Times New Roman" w:cs="Times New Roman" w:eastAsia="Times New Roman" w:hAnsi="Times New Roman"/>
          <w:sz w:val="24"/>
          <w:szCs w:val="24"/>
        </w:rPr>
        <w:t xml:space="preserve">Dalam literatur yang ditelaah, sejumlah kajian telah membahas desain dan model pembelajaran turats (Amrullah &amp; Mutholingah, 2025; Arif, Nasir, &amp; Ma'arif, 2025), keterampilan membaca kitab klasik (Syafei, Suleman, &amp; Rohanda, 2024), literasi membaca (Ilmiani, Miolo, Hunainah, &amp; Maghfurin, 2022), serta minat belajar secara umum dalam konteks pendidikan (Guo &amp; Fryer, 2025). Kajian-kajian yang menjadi rujukan penelitian ini menunjukkan bahwa fokus tersebut umumnya membahas aspek pedagogis, literasi, kebahasaan, atau model pembelajaran tertentu secara terpisah. Ruang kajian tesis ini terletak pada analisis terpadu terhadap strategi pengelolaan lingkungan fisik, akademik, sosial, dan religius—dengan budaya pesantren sebagai konteks lintas dimensi—serta keterkaitannya dengan minat belajar kitab turats dan perkembangan maharah qira'ah melalui studi multisitus pada dua pesantren.</w:t>
      </w:r>
    </w:p>
    <w:p>
      <w:pPr>
        <w:spacing w:after="240" w:line="480"/>
        <w:ind w:firstLine="720"/>
        <w:jc w:val="both"/>
      </w:pPr>
      <w:r>
        <w:rPr>
          <w:rFonts w:ascii="Times New Roman" w:cs="Times New Roman" w:eastAsia="Times New Roman" w:hAnsi="Times New Roman"/>
          <w:sz w:val="24"/>
          <w:szCs w:val="24"/>
        </w:rPr>
        <w:t xml:space="preserve">Novelty penelitian ini terletak pada posisi lingkungan pembelajaran sebagai ekosistem strategis, variasi implementasi institusional antara dua situs, pemahaman minat sebagai bentuk keterlibatan dalam ekosistem belajar yang merupakan sintesis analitis penelitian, serta hubungan dinamis antara minat dan maharah qira'ah. Kontribusi tersebut diposisikan sebagai kontribusi konseptual dan sintesis analitis penelitian, bukan sebagai teori baru, teori universal, atau model pesantren yang telah terbukti efektif secara umum.</w:t>
      </w:r>
    </w:p>
    <w:p>
      <w:pPr>
        <w:spacing w:after="240" w:line="480"/>
        <w:ind w:firstLine="720"/>
        <w:jc w:val="both"/>
      </w:pPr>
      <w:r>
        <w:rPr>
          <w:rFonts w:ascii="Times New Roman" w:cs="Times New Roman" w:eastAsia="Times New Roman" w:hAnsi="Times New Roman"/>
          <w:sz w:val="24"/>
          <w:szCs w:val="24"/>
        </w:rPr>
        <w:t xml:space="preserve">Berdasarkan uraian tersebut, penelitian ini mendeskripsikan dan menganalisis strategi lingkungan pembelajaran pesantren dalam kaitannya dengan minat belajar kitab turats dan perkembangan maharah qira'ah santri pada dua pesantren yang memiliki karakteristik kelembagaan berbeda.</w:t>
      </w:r>
    </w:p>
    <w:p>
      <w:pPr>
        <w:spacing w:after="240" w:before="240" w:line="480"/>
        <w:jc w:val="left"/>
      </w:pPr>
      <w:r>
        <w:rPr>
          <w:rFonts w:ascii="Times New Roman" w:cs="Times New Roman" w:eastAsia="Times New Roman" w:hAnsi="Times New Roman"/>
          <w:b/>
          <w:bCs/>
          <w:sz w:val="24"/>
          <w:szCs w:val="24"/>
        </w:rPr>
        <w:t xml:space="preserve">B. Fokus Penelitian/Rumusan Masalah</w:t>
      </w:r>
    </w:p>
    <w:p>
      <w:pPr>
        <w:spacing w:after="240" w:line="480"/>
        <w:ind w:firstLine="720"/>
        <w:jc w:val="both"/>
      </w:pPr>
      <w:r>
        <w:rPr>
          <w:rFonts w:ascii="Times New Roman" w:cs="Times New Roman" w:eastAsia="Times New Roman" w:hAnsi="Times New Roman"/>
          <w:sz w:val="24"/>
          <w:szCs w:val="24"/>
        </w:rPr>
        <w:t xml:space="preserve">Berdasarkan konteks penelitian yang telah diuraikan, rumusan masalah penelitian ini adalah sebagai berikut.</w:t>
      </w:r>
    </w:p>
    <w:p>
      <w:pPr>
        <w:spacing w:after="240" w:line="480"/>
        <w:jc w:val="both"/>
      </w:pPr>
      <w:r>
        <w:rPr>
          <w:rFonts w:ascii="Times New Roman" w:cs="Times New Roman" w:eastAsia="Times New Roman" w:hAnsi="Times New Roman"/>
          <w:sz w:val="24"/>
          <w:szCs w:val="24"/>
        </w:rPr>
        <w:t xml:space="preserve">1. Bagaimana strategi lingkungan pembelajaran pesantren dalam meningkatkan minat belajar kitab turats di Pondok Pesantren An-Najiyah II Bahrul Ulum Jombang dan Pondok Pesantren Asy-Syafa'ah Karawang?</w:t>
      </w:r>
    </w:p>
    <w:p>
      <w:pPr>
        <w:spacing w:after="240" w:line="480"/>
        <w:jc w:val="both"/>
      </w:pPr>
      <w:r>
        <w:rPr>
          <w:rFonts w:ascii="Times New Roman" w:cs="Times New Roman" w:eastAsia="Times New Roman" w:hAnsi="Times New Roman"/>
          <w:sz w:val="24"/>
          <w:szCs w:val="24"/>
        </w:rPr>
        <w:t xml:space="preserve">2. Apa saja faktor pendukung dan penghambat strategi lingkungan pembelajaran pesantren dalam meningkatkan minat belajar kitab turats di kedua pesantren?</w:t>
      </w:r>
    </w:p>
    <w:p>
      <w:pPr>
        <w:spacing w:after="240" w:line="480"/>
        <w:jc w:val="both"/>
      </w:pPr>
      <w:r>
        <w:rPr>
          <w:rFonts w:ascii="Times New Roman" w:cs="Times New Roman" w:eastAsia="Times New Roman" w:hAnsi="Times New Roman"/>
          <w:sz w:val="24"/>
          <w:szCs w:val="24"/>
        </w:rPr>
        <w:t xml:space="preserve">3. Bagaimana implikasi strategi lingkungan pembelajaran pesantren terhadap peningkatan minat belajar kitab turats dan perkembangan maharah qira'ah santri di kedua pesantren?</w:t>
      </w:r>
    </w:p>
    <w:p>
      <w:pPr>
        <w:spacing w:after="240" w:before="240" w:line="480"/>
        <w:jc w:val="left"/>
      </w:pPr>
      <w:r>
        <w:rPr>
          <w:rFonts w:ascii="Times New Roman" w:cs="Times New Roman" w:eastAsia="Times New Roman" w:hAnsi="Times New Roman"/>
          <w:b/>
          <w:bCs/>
          <w:sz w:val="24"/>
          <w:szCs w:val="24"/>
        </w:rPr>
        <w:t xml:space="preserve">C. Tujuan Penelitian</w:t>
      </w:r>
    </w:p>
    <w:p>
      <w:pPr>
        <w:spacing w:after="240" w:line="480"/>
        <w:ind w:firstLine="720"/>
        <w:jc w:val="both"/>
      </w:pPr>
      <w:r>
        <w:rPr>
          <w:rFonts w:ascii="Times New Roman" w:cs="Times New Roman" w:eastAsia="Times New Roman" w:hAnsi="Times New Roman"/>
          <w:sz w:val="24"/>
          <w:szCs w:val="24"/>
        </w:rPr>
        <w:t xml:space="preserve">Berdasarkan rumusan masalah di atas, tujuan penelitian ini adalah sebagai berikut.</w:t>
      </w:r>
    </w:p>
    <w:p>
      <w:pPr>
        <w:spacing w:after="240" w:line="480"/>
        <w:jc w:val="both"/>
      </w:pPr>
      <w:r>
        <w:rPr>
          <w:rFonts w:ascii="Times New Roman" w:cs="Times New Roman" w:eastAsia="Times New Roman" w:hAnsi="Times New Roman"/>
          <w:sz w:val="24"/>
          <w:szCs w:val="24"/>
        </w:rPr>
        <w:t xml:space="preserve">1. Mendeskripsikan dan menganalisis strategi lingkungan pembelajaran pesantren dalam meningkatkan minat belajar kitab turats pada kedua situs.</w:t>
      </w:r>
    </w:p>
    <w:p>
      <w:pPr>
        <w:spacing w:after="240" w:line="480"/>
        <w:jc w:val="both"/>
      </w:pPr>
      <w:r>
        <w:rPr>
          <w:rFonts w:ascii="Times New Roman" w:cs="Times New Roman" w:eastAsia="Times New Roman" w:hAnsi="Times New Roman"/>
          <w:sz w:val="24"/>
          <w:szCs w:val="24"/>
        </w:rPr>
        <w:t xml:space="preserve">2. Mengidentifikasi dan menganalisis faktor pendukung dan penghambat strategi lingkungan pembelajaran pesantren dalam meningkatkan minat belajar kitab turats pada kedua situs.</w:t>
      </w:r>
    </w:p>
    <w:p>
      <w:pPr>
        <w:spacing w:after="240" w:line="480"/>
        <w:jc w:val="both"/>
      </w:pPr>
      <w:r>
        <w:rPr>
          <w:rFonts w:ascii="Times New Roman" w:cs="Times New Roman" w:eastAsia="Times New Roman" w:hAnsi="Times New Roman"/>
          <w:sz w:val="24"/>
          <w:szCs w:val="24"/>
        </w:rPr>
        <w:t xml:space="preserve">3. Menganalisis implikasi strategi lingkungan pembelajaran pesantren terhadap peningkatan minat belajar kitab turats dan perkembangan maharah qira'ah santri pada kedua situs.</w:t>
      </w:r>
    </w:p>
    <w:p>
      <w:pPr>
        <w:spacing w:after="240" w:before="240" w:line="480"/>
        <w:jc w:val="left"/>
      </w:pPr>
      <w:r>
        <w:rPr>
          <w:rFonts w:ascii="Times New Roman" w:cs="Times New Roman" w:eastAsia="Times New Roman" w:hAnsi="Times New Roman"/>
          <w:b/>
          <w:bCs/>
          <w:sz w:val="24"/>
          <w:szCs w:val="24"/>
        </w:rPr>
        <w:t xml:space="preserve">D. Manfaat Penelitian</w:t>
      </w:r>
    </w:p>
    <w:p>
      <w:pPr>
        <w:spacing w:after="240" w:line="480"/>
        <w:ind w:firstLine="720"/>
        <w:jc w:val="both"/>
      </w:pPr>
      <w:r>
        <w:rPr>
          <w:rFonts w:ascii="Times New Roman" w:cs="Times New Roman" w:eastAsia="Times New Roman" w:hAnsi="Times New Roman"/>
          <w:b/>
          <w:bCs/>
          <w:sz w:val="24"/>
          <w:szCs w:val="24"/>
        </w:rPr>
        <w:t xml:space="preserve">Manfaat Teoretis.</w:t>
      </w:r>
      <w:r>
        <w:rPr>
          <w:rFonts w:ascii="Times New Roman" w:cs="Times New Roman" w:eastAsia="Times New Roman" w:hAnsi="Times New Roman"/>
          <w:sz w:val="24"/>
          <w:szCs w:val="24"/>
        </w:rPr>
        <w:t xml:space="preserve"> Penelitian ini memberikan kontribusi konseptual berupa sintesis analitis mengenai strategi lingkungan pembelajaran pesantren yang mencakup empat dimensi—fisik, akademik, sosial, dan religius—dengan budaya pesantren sebagai konteks lintas dimensi, serta keterkaitannya dengan minat belajar kitab turats dan perkembangan maharah qira'ah santri. Kontribusi ini memperkaya kajian pendidikan pesantren, khususnya dalam melihat lingkungan pembelajaran sebagai kondisi yang dibentuk dan dikelola secara kelembagaan, bukan sekadar latar pasif berlangsungnya pendidikan.</w:t>
      </w:r>
    </w:p>
    <w:p>
      <w:pPr>
        <w:spacing w:after="240" w:line="480"/>
        <w:ind w:firstLine="720"/>
        <w:jc w:val="both"/>
      </w:pPr>
      <w:r>
        <w:rPr>
          <w:rFonts w:ascii="Times New Roman" w:cs="Times New Roman" w:eastAsia="Times New Roman" w:hAnsi="Times New Roman"/>
          <w:b/>
          <w:bCs/>
          <w:sz w:val="24"/>
          <w:szCs w:val="24"/>
        </w:rPr>
        <w:t xml:space="preserve">Manfaat Praktis.</w:t>
      </w:r>
      <w:r>
        <w:rPr>
          <w:rFonts w:ascii="Times New Roman" w:cs="Times New Roman" w:eastAsia="Times New Roman" w:hAnsi="Times New Roman"/>
          <w:sz w:val="24"/>
          <w:szCs w:val="24"/>
        </w:rPr>
        <w:t xml:space="preserve"> Bagi pengasuh dan pengelola pesantren, hasil penelitian ini dapat menjadi bahan pertimbangan dalam mengelola dan mengembangkan strategi lingkungan pembelajaran di lembaga masing-masing. Bagi ustaz/pendidik kitab turats, penelitian ini memberikan gambaran mengenai variasi praktik yang dapat memberi ruang bagi tumbuhnya minat belajar dan berkembangnya maharah qira'ah santri. Bagi peneliti selanjutnya, penelitian ini dapat menjadi rujukan awal untuk kajian lanjutan mengenai lingkungan pembelajaran pesantren, minat belajar kitab turats, dan maharah qira'ah pada konteks pesantren lain.</w:t>
      </w:r>
    </w:p>
    <w:p>
      <w:pPr>
        <w:spacing w:after="240" w:before="240" w:line="480"/>
        <w:jc w:val="left"/>
      </w:pPr>
      <w:r>
        <w:rPr>
          <w:rFonts w:ascii="Times New Roman" w:cs="Times New Roman" w:eastAsia="Times New Roman" w:hAnsi="Times New Roman"/>
          <w:b/>
          <w:bCs/>
          <w:sz w:val="24"/>
          <w:szCs w:val="24"/>
        </w:rPr>
        <w:t xml:space="preserve">E. Definisi Istilah</w:t>
      </w:r>
    </w:p>
    <w:p>
      <w:pPr>
        <w:spacing w:after="240" w:line="480"/>
        <w:ind w:firstLine="720"/>
        <w:jc w:val="both"/>
      </w:pPr>
      <w:r>
        <w:rPr>
          <w:rFonts w:ascii="Times New Roman" w:cs="Times New Roman" w:eastAsia="Times New Roman" w:hAnsi="Times New Roman"/>
          <w:b/>
          <w:bCs/>
          <w:sz w:val="24"/>
          <w:szCs w:val="24"/>
        </w:rPr>
        <w:t xml:space="preserve">Strategi Lingkungan Pembelajaran Pesantren</w:t>
      </w:r>
      <w:r>
        <w:rPr>
          <w:rFonts w:ascii="Times New Roman" w:cs="Times New Roman" w:eastAsia="Times New Roman" w:hAnsi="Times New Roman"/>
          <w:sz w:val="24"/>
          <w:szCs w:val="24"/>
        </w:rPr>
        <w:t xml:space="preserve"> dalam penelitian ini didefinisikan secara operasional sebagai upaya kelembagaan yang terarah dalam mengelola empat dimensi lingkungan pembelajaran, yaitu dimensi fisik, akademik, sosial, dan religius, dengan budaya pesantren sebagai konteks yang menghubungkan keempat dimensi tersebut, guna memberikan ruang bagi tumbuhnya minat belajar kitab turats dan berkembangnya maharah qira'ah santri.</w:t>
      </w:r>
    </w:p>
    <w:p>
      <w:pPr>
        <w:spacing w:after="240" w:line="480"/>
        <w:ind w:firstLine="720"/>
        <w:jc w:val="both"/>
      </w:pPr>
      <w:r>
        <w:rPr>
          <w:rFonts w:ascii="Times New Roman" w:cs="Times New Roman" w:eastAsia="Times New Roman" w:hAnsi="Times New Roman"/>
          <w:b/>
          <w:bCs/>
          <w:sz w:val="24"/>
          <w:szCs w:val="24"/>
        </w:rPr>
        <w:t xml:space="preserve">Minat Belajar Kitab Turats</w:t>
      </w:r>
      <w:r>
        <w:rPr>
          <w:rFonts w:ascii="Times New Roman" w:cs="Times New Roman" w:eastAsia="Times New Roman" w:hAnsi="Times New Roman"/>
          <w:sz w:val="24"/>
          <w:szCs w:val="24"/>
        </w:rPr>
        <w:t xml:space="preserve"> dipahami sebagai konstruk yang berkaitan dengan ketertarikan santri terhadap objek dan kegiatan belajar kitab turats. Dalam penelitian ini, minat ditelusuri secara kualitatif melalui perhatian, keterlibatan dalam aktivitas, inisiatif membaca, konsistensi, kemauan memperdalam bacaan, serta bentuk keterlibatan relevan lainnya. Kehadiran dalam kegiatan dibaca bersama indikator dan data lain, bukan digunakan secara tunggal sebagai bukti minat, terutama pada kegiatan yang bersifat wajib. Indikator keterlibatan tersebut merupakan jejak empiris untuk membaca minat bersama data wawancara dan observasi, dan tidak dimaknai identik dengan minat itu sendiri.</w:t>
      </w:r>
    </w:p>
    <w:p>
      <w:pPr>
        <w:spacing w:after="240" w:line="480"/>
        <w:ind w:firstLine="720"/>
        <w:jc w:val="both"/>
      </w:pPr>
      <w:r>
        <w:rPr>
          <w:rFonts w:ascii="Times New Roman" w:cs="Times New Roman" w:eastAsia="Times New Roman" w:hAnsi="Times New Roman"/>
          <w:b/>
          <w:bCs/>
          <w:sz w:val="24"/>
          <w:szCs w:val="24"/>
        </w:rPr>
        <w:t xml:space="preserve">Kitab Turats</w:t>
      </w:r>
      <w:r>
        <w:rPr>
          <w:rFonts w:ascii="Times New Roman" w:cs="Times New Roman" w:eastAsia="Times New Roman" w:hAnsi="Times New Roman"/>
          <w:sz w:val="24"/>
          <w:szCs w:val="24"/>
        </w:rPr>
        <w:t xml:space="preserve"> adalah literatur klasik keislaman berbahasa Arab yang dalam konteks pesantren Indonesia berkaitan erat dengan tradisi kitab kuning dan digunakan dalam pembelajaran berbagai disiplin keislaman. Banyak teks yang dipelajari dalam tradisi tersebut disajikan tanpa harakat sehingga pembaca memerlukan kemampuan kebahasaan, termasuk penguasaan nahwu-sharaf, untuk membaca dan memahaminya.</w:t>
      </w:r>
    </w:p>
    <w:p>
      <w:pPr>
        <w:spacing w:after="240" w:line="480"/>
        <w:ind w:firstLine="720"/>
        <w:jc w:val="both"/>
      </w:pPr>
      <w:r>
        <w:rPr>
          <w:rFonts w:ascii="Times New Roman" w:cs="Times New Roman" w:eastAsia="Times New Roman" w:hAnsi="Times New Roman"/>
          <w:b/>
          <w:bCs/>
          <w:sz w:val="24"/>
          <w:szCs w:val="24"/>
        </w:rPr>
        <w:t xml:space="preserve">Maharah Qira'ah</w:t>
      </w:r>
      <w:r>
        <w:rPr>
          <w:rFonts w:ascii="Times New Roman" w:cs="Times New Roman" w:eastAsia="Times New Roman" w:hAnsi="Times New Roman"/>
          <w:sz w:val="24"/>
          <w:szCs w:val="24"/>
        </w:rPr>
        <w:t xml:space="preserve"> dalam penelitian ini ditelaah melalui empat kategori, yaitu: (1) kemampuan membaca teks tanpa harakat; (2) ketepatan struktur/penerapan nahwu-sharaf; (3) kemampuan memahami dan memaknai teks; dan (4) perkembangan kemampuan membaca. Keempat kategori tersebut merupakan kerangka konseptual-operasional penelitian berdasarkan sintesis literatur qira'ah dan pembacaan teks Arab, bukan empat indikator yang diklaim berasal dari satu ahli tertentu.</w:t>
      </w:r>
    </w:p>
    <w:p>
      <w:pPr>
        <w:spacing w:after="240" w:line="480"/>
        <w:ind w:firstLine="720"/>
        <w:jc w:val="both"/>
      </w:pPr>
      <w:r>
        <w:rPr>
          <w:rFonts w:ascii="Times New Roman" w:cs="Times New Roman" w:eastAsia="Times New Roman" w:hAnsi="Times New Roman"/>
          <w:b/>
          <w:bCs/>
          <w:sz w:val="24"/>
          <w:szCs w:val="24"/>
        </w:rPr>
        <w:t xml:space="preserve">Studi Multisitus</w:t>
      </w:r>
      <w:r>
        <w:rPr>
          <w:rFonts w:ascii="Times New Roman" w:cs="Times New Roman" w:eastAsia="Times New Roman" w:hAnsi="Times New Roman"/>
          <w:sz w:val="24"/>
          <w:szCs w:val="24"/>
        </w:rPr>
        <w:t xml:space="preserve"> adalah desain penelitian kualitatif yang menelaah fenomena yang sama pada lebih dari satu situs atau lokasi, dalam penelitian ini pada dua pesantren yang berbeda, untuk kemudian dianalisis secara </w:t>
      </w:r>
      <w:r>
        <w:rPr>
          <w:rFonts w:ascii="Times New Roman" w:cs="Times New Roman" w:eastAsia="Times New Roman" w:hAnsi="Times New Roman"/>
          <w:i/>
          <w:iCs/>
          <w:sz w:val="24"/>
          <w:szCs w:val="24"/>
        </w:rPr>
        <w:t xml:space="preserve">within-site</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cross-site</w:t>
      </w:r>
      <w:r>
        <w:rPr>
          <w:rFonts w:ascii="Times New Roman" w:cs="Times New Roman" w:eastAsia="Times New Roman" w:hAnsi="Times New Roman"/>
          <w:sz w:val="24"/>
          <w:szCs w:val="24"/>
        </w:rPr>
        <w:t xml:space="preserve">.</w:t>
      </w:r>
    </w:p>
    <w:p>
      <w:pPr>
        <w:spacing w:after="240" w:before="240" w:line="480"/>
        <w:jc w:val="left"/>
      </w:pPr>
      <w:r>
        <w:rPr>
          <w:rFonts w:ascii="Times New Roman" w:cs="Times New Roman" w:eastAsia="Times New Roman" w:hAnsi="Times New Roman"/>
          <w:b/>
          <w:bCs/>
          <w:sz w:val="24"/>
          <w:szCs w:val="24"/>
        </w:rPr>
        <w:t xml:space="preserve">F. Sistematika Pembahasan</w:t>
      </w:r>
    </w:p>
    <w:p>
      <w:pPr>
        <w:spacing w:after="240" w:line="480"/>
        <w:ind w:firstLine="720"/>
        <w:jc w:val="both"/>
      </w:pPr>
      <w:r>
        <w:rPr>
          <w:rFonts w:ascii="Times New Roman" w:cs="Times New Roman" w:eastAsia="Times New Roman" w:hAnsi="Times New Roman"/>
          <w:sz w:val="24"/>
          <w:szCs w:val="24"/>
        </w:rPr>
        <w:t xml:space="preserve">Tesis ini disusun dalam lima bab. BAB I Pendahuluan menguraikan konteks penelitian, rumusan masalah, tujuan penelitian, manfaat penelitian, definisi istilah, dan sistematika pembahasan. BAB II Kajian Pustaka memaparkan kajian teoretis mengenai lingkungan pembelajaran pesantren, minat belajar, kitab turats, dan maharah qira'ah, serta kerangka berpikir penelitian. BAB III Metode Penelitian menguraikan rancangan penelitian, lokasi dan subjek penelitian, teknik pengumpulan data, teknik analisis data, serta teknik keabsahan data yang digunakan. BAB IV Paparan Data, Temuan Penelitian, dan Pembahasan menyajikan data lapangan pada masing-masing situs, temuan penelitian pada tiap situs dan lintas situs, serta pembahasan yang mengaitkan temuan dengan kajian pustaka. BAB V Penutup memuat kesimpulan penelitian, implikasi teoretis, praktis, dan metodologis, serta saran bagi pihak-pihak terkait dan penelitian selanjutnya.</w:t>
      </w:r>
    </w:p>
    <w:p>
      <w:r>
        <w:br w:type="page"/>
      </w:r>
    </w:p>
    <w:p>
      <w:pPr>
        <w:spacing w:after="240" w:before="240" w:line="480"/>
        <w:jc w:val="left"/>
      </w:pPr>
      <w:r>
        <w:rPr>
          <w:rFonts w:ascii="Times New Roman" w:cs="Times New Roman" w:eastAsia="Times New Roman" w:hAnsi="Times New Roman"/>
          <w:b/>
          <w:bCs/>
          <w:sz w:val="24"/>
          <w:szCs w:val="24"/>
        </w:rPr>
        <w:t xml:space="preserve">SUMBER RUJUKAN BAB I (KODE REFERENSI CITATION PACK)</w:t>
      </w:r>
    </w:p>
    <w:p>
      <w:pPr>
        <w:spacing w:after="240" w:line="480"/>
        <w:jc w:val="both"/>
      </w:pPr>
      <w:r>
        <w:rPr>
          <w:rFonts w:ascii="Times New Roman" w:cs="Times New Roman" w:eastAsia="Times New Roman" w:hAnsi="Times New Roman"/>
          <w:sz w:val="24"/>
          <w:szCs w:val="24"/>
        </w:rPr>
        <w:t xml:space="preserve">Kode berikut merujuk pada Citation Pack yang digunakan secara eksklusif dalam penyusunan dan audit BAB I. Kode ini bersifat internal untuk keperluan audit dan penyatuan Master Reference Register, dan tidak ditampilkan dalam badan teks BAB 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8600"/>
      </w:tblGrid>
      <w:tr>
        <w:trPr>
          <w:tblHeader/>
        </w:trPr>
        <w:tc>
          <w:tcPr>
            <w:tcW w:type="dxa" w:w="900"/>
            <w:shd w:fill="D9D9D9" w:val="clear"/>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Kode</w:t>
            </w:r>
          </w:p>
        </w:tc>
        <w:tc>
          <w:tcPr>
            <w:tcW w:type="dxa" w:w="8600"/>
            <w:shd w:fill="D9D9D9" w:val="clear"/>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Referensi lengkap (format APA)</w:t>
            </w:r>
          </w:p>
        </w:tc>
      </w:tr>
      <w:tr>
        <w:tc>
          <w:tcPr>
            <w:tcW w:type="dxa" w:w="9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R01</w:t>
            </w:r>
          </w:p>
        </w:tc>
        <w:tc>
          <w:tcPr>
            <w:tcW w:type="dxa" w:w="86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Kementerian Agama Republik Indonesia. (2025). Keputusan Menteri Agama Republik Indonesia Nomor 91 Tahun 2025 tentang Peta Jalan Program Pengembangan Pesantren Ramah Anak.</w:t>
            </w:r>
          </w:p>
        </w:tc>
      </w:tr>
      <w:tr>
        <w:tc>
          <w:tcPr>
            <w:tcW w:type="dxa" w:w="9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R02</w:t>
            </w:r>
          </w:p>
        </w:tc>
        <w:tc>
          <w:tcPr>
            <w:tcW w:type="dxa" w:w="86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Amrullah, Z., &amp; Mutholingah, S. (2025). Tradition Meets Modernity: A Study on Classic Book (Turats) Learning at Sidogiri Pesantren. EDUKASI: Jurnal Penelitian Pendidikan Agama dan Keagamaan, 23(2), 208–226. DOI: 10.32729/edukasi.v23i2.1893.</w:t>
            </w:r>
          </w:p>
        </w:tc>
      </w:tr>
      <w:tr>
        <w:tc>
          <w:tcPr>
            <w:tcW w:type="dxa" w:w="9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R03</w:t>
            </w:r>
          </w:p>
        </w:tc>
        <w:tc>
          <w:tcPr>
            <w:tcW w:type="dxa" w:w="86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Arif, M., Nasir, R., &amp; Ma'arif, M. A. (2025). The Kitab Kuning Learning Model in the Development of Student Expertise in Pesantren-Based Higher Education. Nazhruna: Jurnal Pendidikan Islam, 8(1), 52–74. DOI: 10.31538/nzh.v8i1.8.</w:t>
            </w:r>
          </w:p>
        </w:tc>
      </w:tr>
      <w:tr>
        <w:tc>
          <w:tcPr>
            <w:tcW w:type="dxa" w:w="9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R04</w:t>
            </w:r>
          </w:p>
        </w:tc>
        <w:tc>
          <w:tcPr>
            <w:tcW w:type="dxa" w:w="86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Syafei, I., Suleman, E., &amp; Rohanda. (2024). The Development of Student Reading Skills in Arabic for Reading Islamic Classical Books Using the Arabic Learning Model at Indonesian Islamic Boarding Schools. Theory and Practice in Language Studies, 14(5), 1381–1392. DOI: 10.17507/tpls.1405.10.</w:t>
            </w:r>
          </w:p>
        </w:tc>
      </w:tr>
      <w:tr>
        <w:tc>
          <w:tcPr>
            <w:tcW w:type="dxa" w:w="9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R05</w:t>
            </w:r>
          </w:p>
        </w:tc>
        <w:tc>
          <w:tcPr>
            <w:tcW w:type="dxa" w:w="86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Bin Sawad, N., Law, J. M., Tibi, S., &amp; Boese, K. (2022). Arabic Metalinguistic Knowledge Predicts Reading Comprehension: A Scoping Review. Frontiers in Communication, 7, 984340. DOI: 10.3389/fcomm.2022.984340.</w:t>
            </w:r>
          </w:p>
        </w:tc>
      </w:tr>
      <w:tr>
        <w:tc>
          <w:tcPr>
            <w:tcW w:type="dxa" w:w="9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R06</w:t>
            </w:r>
          </w:p>
        </w:tc>
        <w:tc>
          <w:tcPr>
            <w:tcW w:type="dxa" w:w="86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Guo, Z., &amp; Fryer, L. K. (2025). What Really Elicits Learners' Situational Interest in Learning Activities: A Scoping Review of Six Most Commonly Researched Types of Situational Interest Sources in Educational Settings. Current Psychology, 44, 587–601. DOI: 10.1007/s12144-024-07176-x.</w:t>
            </w:r>
          </w:p>
        </w:tc>
      </w:tr>
      <w:tr>
        <w:tc>
          <w:tcPr>
            <w:tcW w:type="dxa" w:w="9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R07</w:t>
            </w:r>
          </w:p>
        </w:tc>
        <w:tc>
          <w:tcPr>
            <w:tcW w:type="dxa" w:w="86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Vargas-Madriz, L. F., Konishi, C., &amp; Wong, T. K. (2024). A Meta-analysis of the Association between Teacher Support and School Engagement. Social Development, 33(4), e12745. DOI: 10.1111/sode.12745.</w:t>
            </w:r>
          </w:p>
        </w:tc>
      </w:tr>
      <w:tr>
        <w:tc>
          <w:tcPr>
            <w:tcW w:type="dxa" w:w="9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R08</w:t>
            </w:r>
          </w:p>
        </w:tc>
        <w:tc>
          <w:tcPr>
            <w:tcW w:type="dxa" w:w="86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Villarreal Arroyo, Y. P., Peñabaena-Niebles, R., &amp; Berdugo Correa, C. (2023). Influence of Environmental Conditions on Students' Learning Processes: A Systematic Review. Building and Environment, 231, 110051. DOI: 10.1016/j.buildenv.2023.110051.</w:t>
            </w:r>
          </w:p>
        </w:tc>
      </w:tr>
      <w:tr>
        <w:tc>
          <w:tcPr>
            <w:tcW w:type="dxa" w:w="9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R09</w:t>
            </w:r>
          </w:p>
        </w:tc>
        <w:tc>
          <w:tcPr>
            <w:tcW w:type="dxa" w:w="86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Ilmiani, A. M., Miolo, M. I., Hunainah, &amp; Maghfurin, A. (2022). Building Literacy in Reading Foreign Language Books for Arabic Education Students. Arabiyat: Jurnal Pendidikan Bahasa Arab dan Kebahasaaraban, 9(1), 44–55. DOI: 10.15408/a.v9i1.20312.</w:t>
            </w:r>
          </w:p>
        </w:tc>
      </w:tr>
      <w:tr>
        <w:tc>
          <w:tcPr>
            <w:tcW w:type="dxa" w:w="9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R10</w:t>
            </w:r>
          </w:p>
        </w:tc>
        <w:tc>
          <w:tcPr>
            <w:tcW w:type="dxa" w:w="86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Mirawati, H. K., Tjahjono, T., Hamami, &amp; Suud, F. M. (2025). Self-Management Strategy of Students in Facing FOMO Challenges and Increasing Social Media Involvement in Islamic Boarding School. Nazhruna: Jurnal Pendidikan Islam, 8(1), 1–16. DOI: 10.31538/nzh.v8i1.129.</w:t>
            </w:r>
          </w:p>
        </w:tc>
      </w:tr>
      <w:tr>
        <w:tc>
          <w:tcPr>
            <w:tcW w:type="dxa" w:w="9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R11</w:t>
            </w:r>
          </w:p>
        </w:tc>
        <w:tc>
          <w:tcPr>
            <w:tcW w:type="dxa" w:w="86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Ramadhan, M. A., Santosa, S., Ahmad, H., &amp; Abror, M. B. A.-M. (2026). A Living Hadith Analysis of Thalab al-'Ilm in Shaping Students' Learning Ethos in Indonesian Islamic Schools. EDUKASI: Jurnal Penelitian Pendidikan Agama dan Keagamaan, 24(1), 181–195. DOI: 10.32729/edukasi.v24i1.2426.</w:t>
            </w:r>
          </w:p>
        </w:tc>
      </w:tr>
      <w:tr>
        <w:tc>
          <w:tcPr>
            <w:tcW w:type="dxa" w:w="9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R12</w:t>
            </w:r>
          </w:p>
        </w:tc>
        <w:tc>
          <w:tcPr>
            <w:tcW w:type="dxa" w:w="86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Nashihin, M. I., Majeed, M. K., Derysmono, Armadi, A., &amp; Syukur, A. (2025). The Role of Pesantren Culture in Developing Academic Character: A Study on the Positive Impact of the Cultural Environment at Pesantren Luhur Sabilussalam. Mimbar Agama Budaya, 42(1), 89–105. DOI: 10.15408/mimbar.v42i1.45255.</w:t>
            </w:r>
          </w:p>
        </w:tc>
      </w:tr>
      <w:tr>
        <w:tc>
          <w:tcPr>
            <w:tcW w:type="dxa" w:w="9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R13</w:t>
            </w:r>
          </w:p>
        </w:tc>
        <w:tc>
          <w:tcPr>
            <w:tcW w:type="dxa" w:w="8600"/>
            <w:tcMar>
              <w:top w:type="dxa" w:w="80"/>
              <w:left w:type="dxa" w:w="100"/>
              <w:bottom w:type="dxa" w:w="80"/>
              <w:right w:type="dxa" w:w="100"/>
            </w:tcMar>
          </w:tcPr>
          <w:p>
            <w:pPr>
              <w:spacing w:line="276"/>
            </w:pPr>
            <w:r>
              <w:rPr>
                <w:rFonts w:ascii="Times New Roman" w:cs="Times New Roman" w:eastAsia="Times New Roman" w:hAnsi="Times New Roman"/>
                <w:b w:val="false"/>
                <w:bCs w:val="false"/>
                <w:sz w:val="22"/>
                <w:szCs w:val="22"/>
              </w:rPr>
              <w:t xml:space="preserve">Budiman, A., Anwar, S., Zarkasyi, A., &amp; Lateh, A. (2025). Constructing the Body of Knowledge of Pesantren Education: A Philosophical, Historical, and Curricular Inquiry. At-Ta'dib, 20(1), 1–18. DOI: 10.21111/attadib.v20i1.14723.</w:t>
            </w:r>
          </w:p>
        </w:tc>
      </w:tr>
    </w:tbl>
    <w:p>
      <w:pPr>
        <w:spacing w:after="120"/>
      </w:pPr>
    </w:p>
    <w:p>
      <w:pPr>
        <w:spacing w:after="240" w:line="480"/>
        <w:jc w:val="both"/>
      </w:pPr>
      <w:r>
        <w:rPr>
          <w:rFonts w:ascii="Times New Roman" w:cs="Times New Roman" w:eastAsia="Times New Roman" w:hAnsi="Times New Roman"/>
          <w:sz w:val="24"/>
          <w:szCs w:val="24"/>
        </w:rPr>
        <w:t xml:space="preserve">Catatan: kode R01–R13 adalah kode internal Citation Pack untuk kebutuhan audit dan penyusunan Master Reference Register, bukan sistem sitasi resmi tesis. Sistem sitasi dalam badan teks BAB I tetap menggunakan format author–date (Nama, Tahun) sebagaimana digunakan pada naskah final, dan belum dikonversi ke format akhir sampai pedoman penulisan tesis Pascasarjana terbaru diverifikasi.</w:t>
      </w:r>
    </w:p>
    <w:sectPr>
      <w:footerReference w:type="default" r:id="rId7"/>
      <w:pgSz w:w="11907" w:h="16840"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2026-09-05T08:12:52.400Z</dcterms:created>
  <dcterms:modified xsi:type="dcterms:W3CDTF">2026-09-05T08:12:52.414Z</dcterms:modified>
</cp:coreProperties>
</file>

<file path=docProps/custom.xml><?xml version="1.0" encoding="utf-8"?>
<Properties xmlns="http://schemas.openxmlformats.org/officeDocument/2006/custom-properties" xmlns:vt="http://schemas.openxmlformats.org/officeDocument/2006/docPropsVTypes"/>
</file>