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BAB V</w:t>
      </w:r>
    </w:p>
    <w:p>
      <w:pPr>
        <w:spacing w:after="400"/>
        <w:jc w:val="center"/>
      </w:pPr>
      <w:r>
        <w:rPr>
          <w:rFonts w:ascii="Times New Roman" w:cs="Times New Roman" w:eastAsia="Times New Roman" w:hAnsi="Times New Roman"/>
          <w:b/>
          <w:bCs/>
          <w:sz w:val="28"/>
          <w:szCs w:val="28"/>
        </w:rPr>
        <w:t xml:space="preserve">PENUTUP</w:t>
      </w:r>
    </w:p>
    <w:p>
      <w:pPr>
        <w:spacing w:after="200" w:before="300"/>
        <w:jc w:val="left"/>
      </w:pPr>
      <w:r>
        <w:rPr>
          <w:rFonts w:ascii="Times New Roman" w:cs="Times New Roman" w:eastAsia="Times New Roman" w:hAnsi="Times New Roman"/>
          <w:b/>
          <w:bCs/>
          <w:sz w:val="24"/>
          <w:szCs w:val="24"/>
        </w:rPr>
        <w:t xml:space="preserve">A. Kesimpulan</w:t>
      </w:r>
    </w:p>
    <w:p>
      <w:pPr>
        <w:spacing w:after="200" w:line="360"/>
        <w:jc w:val="both"/>
      </w:pPr>
      <w:r>
        <w:rPr>
          <w:rFonts w:ascii="Times New Roman" w:cs="Times New Roman" w:eastAsia="Times New Roman" w:hAnsi="Times New Roman"/>
          <w:sz w:val="24"/>
          <w:szCs w:val="24"/>
        </w:rPr>
        <w:t xml:space="preserve">Berdasarkan hasil penelitian dan pembahasan mengenai strategi lingkungan pembelajaran pesantren dalam meningkatkan minat belajar kitab turats dan mengembangkan maharah qira'ah santri pada Pondok Pesantren An-Najiyah II Bahrul Ulum Jombang dan Pondok Pesantren Asy-Syafa'ah Karawang, diperoleh kesimpulan sebagai berikut.</w:t>
      </w:r>
    </w:p>
    <w:p>
      <w:pPr>
        <w:spacing w:after="160" w:before="240"/>
        <w:jc w:val="left"/>
      </w:pPr>
      <w:r>
        <w:rPr>
          <w:rFonts w:ascii="Times New Roman" w:cs="Times New Roman" w:eastAsia="Times New Roman" w:hAnsi="Times New Roman"/>
          <w:b/>
          <w:bCs/>
          <w:sz w:val="24"/>
          <w:szCs w:val="24"/>
        </w:rPr>
        <w:t xml:space="preserve">1. Strategi Lingkungan Pembelajaran Pesantren dalam Meningkatkan Minat Belajar Kitab Turats</w:t>
      </w:r>
    </w:p>
    <w:p>
      <w:pPr>
        <w:spacing w:after="200" w:line="360"/>
        <w:jc w:val="both"/>
      </w:pPr>
      <w:r>
        <w:rPr>
          <w:rFonts w:ascii="Times New Roman" w:cs="Times New Roman" w:eastAsia="Times New Roman" w:hAnsi="Times New Roman"/>
          <w:sz w:val="24"/>
          <w:szCs w:val="24"/>
        </w:rPr>
        <w:t xml:space="preserve">Strategi lingkungan pembelajaran pada kedua pesantren berlangsung secara ekosistemik dan multidimensional melalui keterkaitan dimensi fisik, akademik, sosial, dan religius dalam konteks budaya pesantren. Strategi tersebut tidak bertumpu pada satu program tunggal, tetapi terbentuk melalui konfigurasi ruang belajar, jadwal, rutinitas, pembiasaan, pendampingan, interaksi sosial, kegiatan keilmuan, nilai religius, akses terhadap kitab, dan kesempatan berlatih membaca.</w:t>
      </w:r>
    </w:p>
    <w:p>
      <w:pPr>
        <w:spacing w:after="200" w:line="360"/>
        <w:jc w:val="both"/>
      </w:pPr>
      <w:r>
        <w:rPr>
          <w:rFonts w:ascii="Times New Roman" w:cs="Times New Roman" w:eastAsia="Times New Roman" w:hAnsi="Times New Roman"/>
          <w:sz w:val="24"/>
          <w:szCs w:val="24"/>
        </w:rPr>
        <w:t xml:space="preserve">Pada Pondok Pesantren An-Najiyah II Bahrul Ulum Jombang, strategi lebih menonjol pada struktur, rutinitas, target, pengawasan, pendampingan, dan forum keilmuan. Pola tersebut tergambar melalui Target Bacaan Mingguan yang terarah dan terstruktur, Forum Mudzakarah Ilmiyyah, Belajar Malam Wajib, sorogan, bandongan/wetonan, dan pembacaan terbimbing.</w:t>
      </w:r>
    </w:p>
    <w:p>
      <w:pPr>
        <w:spacing w:after="200" w:line="360"/>
        <w:jc w:val="both"/>
      </w:pPr>
      <w:r>
        <w:rPr>
          <w:rFonts w:ascii="Times New Roman" w:cs="Times New Roman" w:eastAsia="Times New Roman" w:hAnsi="Times New Roman"/>
          <w:sz w:val="24"/>
          <w:szCs w:val="24"/>
        </w:rPr>
        <w:t xml:space="preserve">Pada Pondok Pesantren Asy-Syafa'ah Karawang, strategi lebih menonjol pada budaya literasi, adaptasi terhadap kemampuan santri, variasi aktivitas, pendampingan, dan pengalaman kompetitif. Pola tersebut tergambar melalui Zona Literasi Turats, pembinaan membaca secara bertahap berdasarkan kemampuan santri, Lomba Literasi Turats, bandongan/pengajian, pembacaan di hadapan ustaz, halaqah, latihan membaca, dan dukungan teman sebaya.</w:t>
      </w:r>
    </w:p>
    <w:p>
      <w:pPr>
        <w:spacing w:after="200" w:line="360"/>
        <w:jc w:val="both"/>
      </w:pPr>
      <w:r>
        <w:rPr>
          <w:rFonts w:ascii="Times New Roman" w:cs="Times New Roman" w:eastAsia="Times New Roman" w:hAnsi="Times New Roman"/>
          <w:sz w:val="24"/>
          <w:szCs w:val="24"/>
        </w:rPr>
        <w:t xml:space="preserve">Kedua situs menunjukkan bahwa fokus pembelajaran kitab turats yang searah dapat ditopang melalui mekanisme kelembagaan yang berbeda. Perbedaan tersebut merupakan variasi kontekstual dalam pengelolaan lingkungan pembelajaran, bukan menunjukkan keunggulan salah satu pesantren atas pesantren lainnya.</w:t>
      </w:r>
    </w:p>
    <w:p>
      <w:pPr>
        <w:spacing w:after="200" w:line="360"/>
        <w:jc w:val="both"/>
      </w:pPr>
      <w:r>
        <w:rPr>
          <w:rFonts w:ascii="Times New Roman" w:cs="Times New Roman" w:eastAsia="Times New Roman" w:hAnsi="Times New Roman"/>
          <w:sz w:val="24"/>
          <w:szCs w:val="24"/>
        </w:rPr>
        <w:t xml:space="preserve">Strategi lingkungan tersebut menyediakan kondisi dan kesempatan yang berkaitan dengan minat belajar kitab turats. Minat santri tergambar secara kualitatif melalui kombinasi ketertarikan, rasa senang, perhatian, keterlibatan, kesungguhan, konsistensi, inisiatif, dan kemauan memperdalam kitab. Kehadiran dalam kegiatan yang bersifat wajib tidak digunakan secara tunggal sebagai bukti minat.</w:t>
      </w:r>
    </w:p>
    <w:p>
      <w:pPr>
        <w:spacing w:after="160" w:before="240"/>
        <w:jc w:val="left"/>
      </w:pPr>
      <w:r>
        <w:rPr>
          <w:rFonts w:ascii="Times New Roman" w:cs="Times New Roman" w:eastAsia="Times New Roman" w:hAnsi="Times New Roman"/>
          <w:b/>
          <w:bCs/>
          <w:sz w:val="24"/>
          <w:szCs w:val="24"/>
        </w:rPr>
        <w:t xml:space="preserve">2. Faktor Pendukung dan Penghambat Strategi Lingkungan Pembelajaran Pesantren</w:t>
      </w:r>
    </w:p>
    <w:p>
      <w:pPr>
        <w:spacing w:after="200" w:line="360"/>
        <w:jc w:val="both"/>
      </w:pPr>
      <w:r>
        <w:rPr>
          <w:rFonts w:ascii="Times New Roman" w:cs="Times New Roman" w:eastAsia="Times New Roman" w:hAnsi="Times New Roman"/>
          <w:sz w:val="24"/>
          <w:szCs w:val="24"/>
        </w:rPr>
        <w:t xml:space="preserve">Faktor pendukung strategi lingkungan pembelajaran pada kedua pesantren dapat dipahami melalui lima lapisan yang saling berkaitan, yaitu kelembagaan, pedagogis, sosial, personal, dan sumber/fasilitas.</w:t>
      </w:r>
    </w:p>
    <w:p>
      <w:pPr>
        <w:spacing w:after="200" w:line="360"/>
        <w:jc w:val="both"/>
      </w:pPr>
      <w:r>
        <w:rPr>
          <w:rFonts w:ascii="Times New Roman" w:cs="Times New Roman" w:eastAsia="Times New Roman" w:hAnsi="Times New Roman"/>
          <w:sz w:val="24"/>
          <w:szCs w:val="24"/>
        </w:rPr>
        <w:t xml:space="preserve">Dukungan kelembagaan tergambar melalui arah dan kebijakan pengasuh, pengorganisasian program, jadwal, serta rutinitas pembelajaran. Dukungan pedagogis tampak melalui kompetensi ustaz, penjelasan, bimbingan, koreksi bacaan, dan pendampingan santri. Dukungan sosial hadir melalui interaksi antarsantri dan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termasuk bantuan santri yang lebih mampu kepada santri yang membutuhkan pendampingan. Dukungan personal berkaitan dengan kesiapan, kemauan, pengalaman, dan ketertarikan santri. Adapun dukungan sumber meliputi ketersediaan kitab, ruang belajar, dan kesempatan berinteraksi dengan kitab.</w:t>
      </w:r>
    </w:p>
    <w:p>
      <w:pPr>
        <w:spacing w:after="200" w:line="360"/>
        <w:jc w:val="both"/>
      </w:pPr>
      <w:r>
        <w:rPr>
          <w:rFonts w:ascii="Times New Roman" w:cs="Times New Roman" w:eastAsia="Times New Roman" w:hAnsi="Times New Roman"/>
          <w:sz w:val="24"/>
          <w:szCs w:val="24"/>
        </w:rPr>
        <w:t xml:space="preserve">Faktor penghambat yang muncul pada kedua situs mencakup heterogenitas kemampuan awal santri, keterbatasan waktu atau kepadatan kegiatan, serta kelelahan atau kejenuhan. Teknologi atau gadget dalam kondisi tertentu dapat berfungsi sebagai potensi distraksi, tetapi tidak dipahami sebagai hambatan universal bagi seluruh santri.</w:t>
      </w:r>
    </w:p>
    <w:p>
      <w:pPr>
        <w:spacing w:after="200" w:line="360"/>
        <w:jc w:val="both"/>
      </w:pPr>
      <w:r>
        <w:rPr>
          <w:rFonts w:ascii="Times New Roman" w:cs="Times New Roman" w:eastAsia="Times New Roman" w:hAnsi="Times New Roman"/>
          <w:sz w:val="24"/>
          <w:szCs w:val="24"/>
        </w:rPr>
        <w:t xml:space="preserve">Pada Situs 2 ditemukan pula kondisi yang lebih spesifik berupa tingkat kesulitan teks serta adanya aktivitas lain di luar pembelajaran kitab yang dapat mengurangi waktu belajar. Temuan tersebut tidak digeneralisasikan kepada Situs 1.</w:t>
      </w:r>
    </w:p>
    <w:p>
      <w:pPr>
        <w:spacing w:after="200" w:line="360"/>
        <w:jc w:val="both"/>
      </w:pPr>
      <w:r>
        <w:rPr>
          <w:rFonts w:ascii="Times New Roman" w:cs="Times New Roman" w:eastAsia="Times New Roman" w:hAnsi="Times New Roman"/>
          <w:sz w:val="24"/>
          <w:szCs w:val="24"/>
        </w:rPr>
        <w:t xml:space="preserve">Dengan demikian, faktor pendukung dan penghambat tidak berdiri sendiri, melainkan berkaitan dengan cara masing-masing lembaga mengelola strategi, menyesuaikan program dengan kemampuan santri, serta merespons kondisi kontekstual yang muncul dalam kehidupan pesantren.</w:t>
      </w:r>
    </w:p>
    <w:p>
      <w:pPr>
        <w:spacing w:after="160" w:before="240"/>
        <w:jc w:val="left"/>
      </w:pPr>
      <w:r>
        <w:rPr>
          <w:rFonts w:ascii="Times New Roman" w:cs="Times New Roman" w:eastAsia="Times New Roman" w:hAnsi="Times New Roman"/>
          <w:b/>
          <w:bCs/>
          <w:sz w:val="24"/>
          <w:szCs w:val="24"/>
        </w:rPr>
        <w:t xml:space="preserve">3. Implikasi Strategi terhadap Minat Belajar Kitab Turats dan Perkembangan Maharah Qira'ah</w:t>
      </w:r>
    </w:p>
    <w:p>
      <w:pPr>
        <w:spacing w:after="200" w:line="360"/>
        <w:jc w:val="both"/>
      </w:pPr>
      <w:r>
        <w:rPr>
          <w:rFonts w:ascii="Times New Roman" w:cs="Times New Roman" w:eastAsia="Times New Roman" w:hAnsi="Times New Roman"/>
          <w:sz w:val="24"/>
          <w:szCs w:val="24"/>
        </w:rPr>
        <w:t xml:space="preserve">Strategi lingkungan pembelajaran pada kedua pesantren memberikan implikasi yang tergambar melalui semakin luasnya kesempatan santri untuk berinteraksi dengan kitab turats, baik melalui pengajian, latihan membaca, pendampingan ustaz, diskusi, kegiatan literasi, pembiasaan membaca, maupun dukungan teman sebaya.</w:t>
      </w:r>
    </w:p>
    <w:p>
      <w:pPr>
        <w:spacing w:after="200" w:line="360"/>
        <w:jc w:val="both"/>
      </w:pPr>
      <w:r>
        <w:rPr>
          <w:rFonts w:ascii="Times New Roman" w:cs="Times New Roman" w:eastAsia="Times New Roman" w:hAnsi="Times New Roman"/>
          <w:sz w:val="24"/>
          <w:szCs w:val="24"/>
        </w:rPr>
        <w:t xml:space="preserve">Implikasi terhadap minat belajar tergambar melalui perhatian, keterlibatan, kesungguhan, konsistensi, inisiatif membaca, dan kemauan memperdalam kitab pada santri sesuai konteks masing-masing situs. Minat tidak disamakan dengan </w:t>
      </w:r>
      <w:r>
        <w:rPr>
          <w:rFonts w:ascii="Times New Roman" w:cs="Times New Roman" w:eastAsia="Times New Roman" w:hAnsi="Times New Roman"/>
          <w:i/>
          <w:iCs/>
          <w:sz w:val="24"/>
          <w:szCs w:val="24"/>
        </w:rPr>
        <w:t xml:space="preserve">engagement</w:t>
      </w:r>
      <w:r>
        <w:rPr>
          <w:rFonts w:ascii="Times New Roman" w:cs="Times New Roman" w:eastAsia="Times New Roman" w:hAnsi="Times New Roman"/>
          <w:sz w:val="24"/>
          <w:szCs w:val="24"/>
        </w:rPr>
        <w:t xml:space="preserve">; keterlibatan hanya menjadi salah satu jejak empiris yang dibaca bersama data lainnya.</w:t>
      </w:r>
    </w:p>
    <w:p>
      <w:pPr>
        <w:spacing w:after="200" w:line="360"/>
        <w:jc w:val="both"/>
      </w:pPr>
      <w:r>
        <w:rPr>
          <w:rFonts w:ascii="Times New Roman" w:cs="Times New Roman" w:eastAsia="Times New Roman" w:hAnsi="Times New Roman"/>
          <w:sz w:val="24"/>
          <w:szCs w:val="24"/>
        </w:rPr>
        <w:t xml:space="preserve">Implikasi terhadap maharah qira'ah tergambar secara kualitatif melalui empat aspek, yaitu kemampuan membaca teks tanpa harakat, ketepatan struktur dan penerapan nahwu-sharaf, kemampuan memahami dan memaknai teks, serta perkembangan kemampuan membaca kitab secara keseluruhan. Perkembangan tersebut tergambar melalui pengalaman membaca yang berulang, latihan, koreksi, bimbingan, pengulangan, dan interaksi dengan kitab.</w:t>
      </w:r>
    </w:p>
    <w:p>
      <w:pPr>
        <w:spacing w:after="200" w:line="360"/>
        <w:jc w:val="both"/>
      </w:pPr>
      <w:r>
        <w:rPr>
          <w:rFonts w:ascii="Times New Roman" w:cs="Times New Roman" w:eastAsia="Times New Roman" w:hAnsi="Times New Roman"/>
          <w:sz w:val="24"/>
          <w:szCs w:val="24"/>
        </w:rPr>
        <w:t xml:space="preserve">Hubungan antara minat belajar dan maharah qira'ah tidak dipahami sebagai hubungan kausal linear. Data multisitus menunjukkan hubungan yang dinamis dan potensial resiprokal antara minat, praktik membaca, dan perkembangan maharah qira'ah. Ketertarikan dan keterlibatan santri dapat berkaitan dengan semakin luasnya kesempatan berinteraksi dengan kitab, sedangkan pengalaman membaca dan memahami teks dapat berkaitan dengan keterlibatan berikutnya.</w:t>
      </w:r>
    </w:p>
    <w:p>
      <w:pPr>
        <w:spacing w:after="200" w:line="360"/>
        <w:jc w:val="both"/>
      </w:pPr>
      <w:r>
        <w:rPr>
          <w:rFonts w:ascii="Times New Roman" w:cs="Times New Roman" w:eastAsia="Times New Roman" w:hAnsi="Times New Roman"/>
          <w:sz w:val="24"/>
          <w:szCs w:val="24"/>
        </w:rPr>
        <w:t xml:space="preserve">Dengan demikian, implikasi strategi terhadap minat dan maharah qira'ah dipahami sebagai hasil interaksi berbagai kondisi dan pengalaman belajar dalam ekosistem pesantren, bukan sebagai efek tunggal dari satu program tertentu.</w:t>
      </w:r>
    </w:p>
    <w:p>
      <w:pPr>
        <w:spacing w:after="200" w:before="300"/>
        <w:jc w:val="left"/>
      </w:pPr>
      <w:r>
        <w:rPr>
          <w:rFonts w:ascii="Times New Roman" w:cs="Times New Roman" w:eastAsia="Times New Roman" w:hAnsi="Times New Roman"/>
          <w:b/>
          <w:bCs/>
          <w:sz w:val="24"/>
          <w:szCs w:val="24"/>
        </w:rPr>
        <w:t xml:space="preserve">B. Implikasi Penelitian</w:t>
      </w:r>
    </w:p>
    <w:p>
      <w:pPr>
        <w:spacing w:after="160" w:before="240"/>
        <w:jc w:val="left"/>
      </w:pPr>
      <w:r>
        <w:rPr>
          <w:rFonts w:ascii="Times New Roman" w:cs="Times New Roman" w:eastAsia="Times New Roman" w:hAnsi="Times New Roman"/>
          <w:b/>
          <w:bCs/>
          <w:sz w:val="24"/>
          <w:szCs w:val="24"/>
        </w:rPr>
        <w:t xml:space="preserve">1. Implikasi Teoretis</w:t>
      </w:r>
    </w:p>
    <w:p>
      <w:pPr>
        <w:spacing w:after="200" w:line="360"/>
        <w:jc w:val="both"/>
      </w:pPr>
      <w:r>
        <w:rPr>
          <w:rFonts w:ascii="Times New Roman" w:cs="Times New Roman" w:eastAsia="Times New Roman" w:hAnsi="Times New Roman"/>
          <w:sz w:val="24"/>
          <w:szCs w:val="24"/>
        </w:rPr>
        <w:t xml:space="preserve">Penelitian ini memberikan beberapa implikasi teoretis.</w:t>
      </w:r>
    </w:p>
    <w:p>
      <w:pPr>
        <w:spacing w:after="200" w:line="360"/>
        <w:jc w:val="both"/>
      </w:pPr>
      <w:r>
        <w:rPr>
          <w:rFonts w:ascii="Times New Roman" w:cs="Times New Roman" w:eastAsia="Times New Roman" w:hAnsi="Times New Roman"/>
          <w:sz w:val="24"/>
          <w:szCs w:val="24"/>
        </w:rPr>
        <w:t xml:space="preserve">Pertama, penelitian ini memperluas pemahaman lingkungan sebagai kondisi menuju strategi pengelolaan lingkungan pembelajaran pesantren yang dibentuk dan dikelola melalui berbagai praktik kelembagaan yang melibatkan dimensi fisik, akademik, sosial, dan religius dalam konteks budaya pesantren. Lingkungan pembelajaran dengan demikian tidak hanya dipahami sebagai latar berlangsungnya pembelajaran, tetapi sebagai konfigurasi ruang, sistem, aktor, nilai, kebiasaan, dan aktivitas yang secara bersama-sama membentuk kesempatan belajar.</w:t>
      </w:r>
    </w:p>
    <w:p>
      <w:pPr>
        <w:spacing w:after="200" w:line="360"/>
        <w:jc w:val="both"/>
      </w:pPr>
      <w:r>
        <w:rPr>
          <w:rFonts w:ascii="Times New Roman" w:cs="Times New Roman" w:eastAsia="Times New Roman" w:hAnsi="Times New Roman"/>
          <w:sz w:val="24"/>
          <w:szCs w:val="24"/>
        </w:rPr>
        <w:t xml:space="preserve">Kedua, penelitian multisitus ini menunjukkan bahwa fokus pembelajaran kitab turats yang searah tidak harus dijalankan melalui konfigurasi program yang sama. Pondok Pesantren An-Najiyah II lebih menonjolkan struktur, rutinitas, target, dan forum keilmuan, sedangkan Pondok Pesantren Asy-Syafa'ah lebih menonjolkan budaya literasi, adaptasi kemampuan, dan variasi kegiatan. Temuan tersebut memperlihatkan adanya variasi kontekstual dalam mekanisme kelembagaan tanpa membentuk tipologi universal pesantren.</w:t>
      </w:r>
    </w:p>
    <w:p>
      <w:pPr>
        <w:spacing w:after="200" w:line="360"/>
        <w:jc w:val="both"/>
      </w:pPr>
      <w:r>
        <w:rPr>
          <w:rFonts w:ascii="Times New Roman" w:cs="Times New Roman" w:eastAsia="Times New Roman" w:hAnsi="Times New Roman"/>
          <w:sz w:val="24"/>
          <w:szCs w:val="24"/>
        </w:rPr>
        <w:t xml:space="preserve">Ketiga, penelitian ini memberikan implikasi teoretis terhadap cara membaca minat belajar kitab turats dalam penelitian kualitatif. Minat tidak disamakan dengan kehadiran atau </w:t>
      </w:r>
      <w:r>
        <w:rPr>
          <w:rFonts w:ascii="Times New Roman" w:cs="Times New Roman" w:eastAsia="Times New Roman" w:hAnsi="Times New Roman"/>
          <w:i/>
          <w:iCs/>
          <w:sz w:val="24"/>
          <w:szCs w:val="24"/>
        </w:rPr>
        <w:t xml:space="preserve">engagement</w:t>
      </w:r>
      <w:r>
        <w:rPr>
          <w:rFonts w:ascii="Times New Roman" w:cs="Times New Roman" w:eastAsia="Times New Roman" w:hAnsi="Times New Roman"/>
          <w:sz w:val="24"/>
          <w:szCs w:val="24"/>
        </w:rPr>
        <w:t xml:space="preserve">, tetapi ditafsirkan melalui kombinasi jejak empiris berupa ketertarikan, rasa senang, perhatian, keterlibatan, kesungguhan, konsistensi, inisiatif, dan kemauan memperdalam. Dengan demikian, minat dipahami melalui interaksi santri dengan ekosistem pembelajaran, tanpa dimaksudkan sebagai definisi universal baru mengenai minat.</w:t>
      </w:r>
    </w:p>
    <w:p>
      <w:pPr>
        <w:spacing w:after="200" w:line="360"/>
        <w:jc w:val="both"/>
      </w:pPr>
      <w:r>
        <w:rPr>
          <w:rFonts w:ascii="Times New Roman" w:cs="Times New Roman" w:eastAsia="Times New Roman" w:hAnsi="Times New Roman"/>
          <w:sz w:val="24"/>
          <w:szCs w:val="24"/>
        </w:rPr>
        <w:t xml:space="preserve">Keempat, penelitian ini menawarkan sintesis konseptual mengenai hubungan dinamis antara minat belajar, praktik membaca, dan maharah qira'ah. Ketertarikan dan keterlibatan dapat berkaitan dengan kesempatan berlatih membaca, sedangkan pengalaman membaca dan memahami teks dapat berkaitan dengan keterlibatan berikutnya. Hubungan tersebut bersifat interpretatif dan potensial resiprokal, bukan teori kausal baru.</w:t>
      </w:r>
    </w:p>
    <w:p>
      <w:pPr>
        <w:spacing w:after="160" w:before="240"/>
        <w:jc w:val="left"/>
      </w:pPr>
      <w:r>
        <w:rPr>
          <w:rFonts w:ascii="Times New Roman" w:cs="Times New Roman" w:eastAsia="Times New Roman" w:hAnsi="Times New Roman"/>
          <w:b/>
          <w:bCs/>
          <w:sz w:val="24"/>
          <w:szCs w:val="24"/>
        </w:rPr>
        <w:t xml:space="preserve">2. Implikasi Praktis</w:t>
      </w:r>
    </w:p>
    <w:p>
      <w:pPr>
        <w:spacing w:after="200" w:line="360"/>
        <w:jc w:val="both"/>
      </w:pPr>
      <w:r>
        <w:rPr>
          <w:rFonts w:ascii="Times New Roman" w:cs="Times New Roman" w:eastAsia="Times New Roman" w:hAnsi="Times New Roman"/>
          <w:sz w:val="24"/>
          <w:szCs w:val="24"/>
        </w:rPr>
        <w:t xml:space="preserve">Secara praktis, hasil penelitian mengindikasikan pentingnya pengelolaan lingkungan pembelajaran kitab turats secara terpadu. Pengelolaan tidak cukup hanya melalui penyediaan fasilitas atau penambahan kegiatan, tetapi perlu memperhatikan keterhubungan antara ruang, jadwal, pembiasaan, pendampingan, interaksi sosial, kegiatan keilmuan, dan nilai religius dalam kehidupan pesantren.</w:t>
      </w:r>
    </w:p>
    <w:p>
      <w:pPr>
        <w:spacing w:after="200" w:line="360"/>
        <w:jc w:val="both"/>
      </w:pPr>
      <w:r>
        <w:rPr>
          <w:rFonts w:ascii="Times New Roman" w:cs="Times New Roman" w:eastAsia="Times New Roman" w:hAnsi="Times New Roman"/>
          <w:sz w:val="24"/>
          <w:szCs w:val="24"/>
        </w:rPr>
        <w:t xml:space="preserve">Pengelola pesantren perlu memperhatikan heterogenitas kemampuan santri dengan menyediakan bentuk pembinaan yang sesuai dengan tingkat kesiapan dan kebutuhan mereka. Struktur program tetap penting untuk membangun konsistensi, tetapi perlu diseimbangkan dengan fleksibilitas agar kegiatan tidak menambah kejenuhan atau beban yang berlebihan.</w:t>
      </w:r>
    </w:p>
    <w:p>
      <w:pPr>
        <w:spacing w:after="200" w:line="360"/>
        <w:jc w:val="both"/>
      </w:pPr>
      <w:r>
        <w:rPr>
          <w:rFonts w:ascii="Times New Roman" w:cs="Times New Roman" w:eastAsia="Times New Roman" w:hAnsi="Times New Roman"/>
          <w:sz w:val="24"/>
          <w:szCs w:val="24"/>
        </w:rPr>
        <w:t xml:space="preserve">Pendampingan ustaz tetap menjadi unsur penting melalui bimbingan, koreksi, penjelasan, dan penguatan proses belajar. Pendampingan tersebut dapat dilengkapi dengan pengembangan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yang terarah agar santri dapat saling membantu tanpa menggantikan peran pedagogis ustaz.</w:t>
      </w:r>
    </w:p>
    <w:p>
      <w:pPr>
        <w:spacing w:after="200" w:line="360"/>
        <w:jc w:val="both"/>
      </w:pPr>
      <w:r>
        <w:rPr>
          <w:rFonts w:ascii="Times New Roman" w:cs="Times New Roman" w:eastAsia="Times New Roman" w:hAnsi="Times New Roman"/>
          <w:sz w:val="24"/>
          <w:szCs w:val="24"/>
        </w:rPr>
        <w:t xml:space="preserve">Kesempatan membaca di luar pembelajaran formal juga perlu dipelihara melalui akses terhadap kitab, ruang yang mendukung, kegiatan literasi, waktu belajar yang memadai, serta forum keilmuan yang memungkinkan santri membaca, bertanya, berdiskusi, dan memperdalam pemahaman.</w:t>
      </w:r>
    </w:p>
    <w:p>
      <w:pPr>
        <w:spacing w:after="200" w:line="360"/>
        <w:jc w:val="both"/>
      </w:pPr>
      <w:r>
        <w:rPr>
          <w:rFonts w:ascii="Times New Roman" w:cs="Times New Roman" w:eastAsia="Times New Roman" w:hAnsi="Times New Roman"/>
          <w:sz w:val="24"/>
          <w:szCs w:val="24"/>
        </w:rPr>
        <w:t xml:space="preserve">Temuan mengenai kepadatan kegiatan, kejenuhan, dan potensi distraksi teknologi juga menunjukkan perlunya pengelolaan jadwal dan aktivitas secara proporsional. Teknologi tidak harus dipahami semata-mata sebagai hambatan, tetapi penggunaannya perlu dikelola sesuai konteks dan kebijakan masing-masing pesantren.</w:t>
      </w:r>
    </w:p>
    <w:p>
      <w:pPr>
        <w:spacing w:after="160" w:before="240"/>
        <w:jc w:val="left"/>
      </w:pPr>
      <w:r>
        <w:rPr>
          <w:rFonts w:ascii="Times New Roman" w:cs="Times New Roman" w:eastAsia="Times New Roman" w:hAnsi="Times New Roman"/>
          <w:b/>
          <w:bCs/>
          <w:sz w:val="24"/>
          <w:szCs w:val="24"/>
        </w:rPr>
        <w:t xml:space="preserve">3. Implikasi Metodologis</w:t>
      </w:r>
    </w:p>
    <w:p>
      <w:pPr>
        <w:spacing w:after="200" w:line="360"/>
        <w:jc w:val="both"/>
      </w:pPr>
      <w:r>
        <w:rPr>
          <w:rFonts w:ascii="Times New Roman" w:cs="Times New Roman" w:eastAsia="Times New Roman" w:hAnsi="Times New Roman"/>
          <w:sz w:val="24"/>
          <w:szCs w:val="24"/>
        </w:rPr>
        <w:t xml:space="preserve">Desain studi multisitus membantu memperlihatkan variasi pola kelembagaan yang digunakan pada dua konteks pesantren dalam mendukung fokus pembelajaran yang searah. Analisis </w:t>
      </w:r>
      <w:r>
        <w:rPr>
          <w:rFonts w:ascii="Times New Roman" w:cs="Times New Roman" w:eastAsia="Times New Roman" w:hAnsi="Times New Roman"/>
          <w:i/>
          <w:iCs/>
          <w:sz w:val="24"/>
          <w:szCs w:val="24"/>
        </w:rPr>
        <w:t xml:space="preserve">within-site</w:t>
      </w:r>
      <w:r>
        <w:rPr>
          <w:rFonts w:ascii="Times New Roman" w:cs="Times New Roman" w:eastAsia="Times New Roman" w:hAnsi="Times New Roman"/>
          <w:sz w:val="24"/>
          <w:szCs w:val="24"/>
        </w:rPr>
        <w:t xml:space="preserve"> memungkinkan karakteristik masing-masing pesantren dipahami terlebih dahulu secara kontekstual, sedangkan analisis </w:t>
      </w:r>
      <w:r>
        <w:rPr>
          <w:rFonts w:ascii="Times New Roman" w:cs="Times New Roman" w:eastAsia="Times New Roman" w:hAnsi="Times New Roman"/>
          <w:i/>
          <w:iCs/>
          <w:sz w:val="24"/>
          <w:szCs w:val="24"/>
        </w:rPr>
        <w:t xml:space="preserve">cross-site</w:t>
      </w:r>
      <w:r>
        <w:rPr>
          <w:rFonts w:ascii="Times New Roman" w:cs="Times New Roman" w:eastAsia="Times New Roman" w:hAnsi="Times New Roman"/>
          <w:sz w:val="24"/>
          <w:szCs w:val="24"/>
        </w:rPr>
        <w:t xml:space="preserve"> membantu mengidentifikasi persamaan, perbedaan, dan variasi mekanisme kelembagaan tanpa menghilangkan kekhasan masing-masing situs.</w:t>
      </w:r>
    </w:p>
    <w:p>
      <w:pPr>
        <w:spacing w:after="200" w:line="360"/>
        <w:jc w:val="both"/>
      </w:pPr>
      <w:r>
        <w:rPr>
          <w:rFonts w:ascii="Times New Roman" w:cs="Times New Roman" w:eastAsia="Times New Roman" w:hAnsi="Times New Roman"/>
          <w:sz w:val="24"/>
          <w:szCs w:val="24"/>
        </w:rPr>
        <w:t xml:space="preserve">Pendekatan kualitatif juga memungkinkan minat belajar dan perkembangan maharah qira'ah dibaca melalui pengalaman santri, praktik pembelajaran, interaksi, observasi, dan keterangan informan. Pendekatan tersebut memberi ruang bagi pemahaman proses dan pengalaman yang tidak selalu dapat direpresentasikan melalui skor.</w:t>
      </w:r>
    </w:p>
    <w:p>
      <w:pPr>
        <w:spacing w:after="200" w:line="360"/>
        <w:jc w:val="both"/>
      </w:pPr>
      <w:r>
        <w:rPr>
          <w:rFonts w:ascii="Times New Roman" w:cs="Times New Roman" w:eastAsia="Times New Roman" w:hAnsi="Times New Roman"/>
          <w:sz w:val="24"/>
          <w:szCs w:val="24"/>
        </w:rPr>
        <w:t xml:space="preserve">Implikasi metodologis ini tidak berarti bahwa desain kualitatif multisitus merupakan pendekatan yang paling tepat untuk seluruh penelitian pesantren. Pilihan desain tetap perlu disesuaikan dengan pertanyaan penelitian, tujuan, dan jenis data yang hendak diperoleh.</w:t>
      </w:r>
    </w:p>
    <w:p>
      <w:pPr>
        <w:spacing w:after="200" w:before="300"/>
        <w:jc w:val="left"/>
      </w:pPr>
      <w:r>
        <w:rPr>
          <w:rFonts w:ascii="Times New Roman" w:cs="Times New Roman" w:eastAsia="Times New Roman" w:hAnsi="Times New Roman"/>
          <w:b/>
          <w:bCs/>
          <w:sz w:val="24"/>
          <w:szCs w:val="24"/>
        </w:rPr>
        <w:t xml:space="preserve">C. Saran</w:t>
      </w:r>
    </w:p>
    <w:p>
      <w:pPr>
        <w:spacing w:after="160" w:before="240"/>
        <w:jc w:val="left"/>
      </w:pPr>
      <w:r>
        <w:rPr>
          <w:rFonts w:ascii="Times New Roman" w:cs="Times New Roman" w:eastAsia="Times New Roman" w:hAnsi="Times New Roman"/>
          <w:b/>
          <w:bCs/>
          <w:sz w:val="24"/>
          <w:szCs w:val="24"/>
        </w:rPr>
        <w:t xml:space="preserve">1. Bagi Pondok Pesantren An-Najiyah II Bahrul Ulum Jombang</w:t>
      </w:r>
    </w:p>
    <w:p>
      <w:pPr>
        <w:spacing w:after="200" w:line="360"/>
        <w:jc w:val="both"/>
      </w:pPr>
      <w:r>
        <w:rPr>
          <w:rFonts w:ascii="Times New Roman" w:cs="Times New Roman" w:eastAsia="Times New Roman" w:hAnsi="Times New Roman"/>
          <w:sz w:val="24"/>
          <w:szCs w:val="24"/>
        </w:rPr>
        <w:t xml:space="preserve">Pondok Pesantren An-Najiyah II dapat mempertahankan struktur pembelajaran yang telah berjalan melalui Target Bacaan Mingguan, Forum Mudzakarah Ilmiyyah, Belajar Malam Wajib, sorogan, bandongan/wetonan, dan pembacaan terbimbing dengan tetap memperhatikan variasi kemampuan dan kondisi santri.</w:t>
      </w:r>
    </w:p>
    <w:p>
      <w:pPr>
        <w:spacing w:after="200" w:line="360"/>
        <w:jc w:val="both"/>
      </w:pPr>
      <w:r>
        <w:rPr>
          <w:rFonts w:ascii="Times New Roman" w:cs="Times New Roman" w:eastAsia="Times New Roman" w:hAnsi="Times New Roman"/>
          <w:sz w:val="24"/>
          <w:szCs w:val="24"/>
        </w:rPr>
        <w:t xml:space="preserve">Target Bacaan Mingguan perlu tetap diarahkan sebagai pembiasaan membaca yang terstruktur tanpa menjadikannya beban yang seragam bagi santri dengan tingkat kemampuan berbeda. Pendampingan ustaz dan pengurus dalam Belajar Malam Wajib juga perlu dipertahankan agar rutinitas belajar tidak hanya bersifat administratif, tetapi tetap memberikan dukungan akademik.</w:t>
      </w:r>
    </w:p>
    <w:p>
      <w:pPr>
        <w:spacing w:after="200" w:line="360"/>
        <w:jc w:val="both"/>
      </w:pPr>
      <w:r>
        <w:rPr>
          <w:rFonts w:ascii="Times New Roman" w:cs="Times New Roman" w:eastAsia="Times New Roman" w:hAnsi="Times New Roman"/>
          <w:sz w:val="24"/>
          <w:szCs w:val="24"/>
        </w:rPr>
        <w:t xml:space="preserve">Forum Mudzakarah Ilmiyyah dapat terus dikembangkan sebagai ruang diskusi, pembacaan, dan pemecahan kesulitan belajar kitab, sekaligus menjadi sarana bagi santri untuk memperdalam pemahaman secara bersama.</w:t>
      </w:r>
    </w:p>
    <w:p>
      <w:pPr>
        <w:spacing w:after="200" w:line="360"/>
        <w:jc w:val="both"/>
      </w:pPr>
      <w:r>
        <w:rPr>
          <w:rFonts w:ascii="Times New Roman" w:cs="Times New Roman" w:eastAsia="Times New Roman" w:hAnsi="Times New Roman"/>
          <w:sz w:val="24"/>
          <w:szCs w:val="24"/>
        </w:rPr>
        <w:t xml:space="preserve">Pesantren juga perlu memperhatikan kepadatan kegiatan, kejenuhan, dan variasi kemampuan santri agar struktur dan kedisiplinan tetap berjalan secara proporsional dengan kebutuhan belajar.</w:t>
      </w:r>
    </w:p>
    <w:p>
      <w:pPr>
        <w:spacing w:after="160" w:before="240"/>
        <w:jc w:val="left"/>
      </w:pPr>
      <w:r>
        <w:rPr>
          <w:rFonts w:ascii="Times New Roman" w:cs="Times New Roman" w:eastAsia="Times New Roman" w:hAnsi="Times New Roman"/>
          <w:b/>
          <w:bCs/>
          <w:sz w:val="24"/>
          <w:szCs w:val="24"/>
        </w:rPr>
        <w:t xml:space="preserve">2. Bagi Pondok Pesantren Asy-Syafa'ah Karawang</w:t>
      </w:r>
    </w:p>
    <w:p>
      <w:pPr>
        <w:spacing w:after="200" w:line="360"/>
        <w:jc w:val="both"/>
      </w:pPr>
      <w:r>
        <w:rPr>
          <w:rFonts w:ascii="Times New Roman" w:cs="Times New Roman" w:eastAsia="Times New Roman" w:hAnsi="Times New Roman"/>
          <w:sz w:val="24"/>
          <w:szCs w:val="24"/>
        </w:rPr>
        <w:t xml:space="preserve">Pondok Pesantren Asy-Syafa'ah dapat mempertahankan dan mengembangkan budaya literasi turats melalui Zona Literasi Turats dan berbagai kesempatan membaca di luar pembelajaran formal.</w:t>
      </w:r>
    </w:p>
    <w:p>
      <w:pPr>
        <w:spacing w:after="200" w:line="360"/>
        <w:jc w:val="both"/>
      </w:pPr>
      <w:r>
        <w:rPr>
          <w:rFonts w:ascii="Times New Roman" w:cs="Times New Roman" w:eastAsia="Times New Roman" w:hAnsi="Times New Roman"/>
          <w:sz w:val="24"/>
          <w:szCs w:val="24"/>
        </w:rPr>
        <w:t xml:space="preserve">Pembinaan membaca secara bertahap berdasarkan kemampuan santri perlu dipertahankan dan dievaluasi secara berkala agar santri dengan kemampuan yang berbeda memperoleh pendampingan sesuai kebutuhan belajar masing-masing.</w:t>
      </w:r>
    </w:p>
    <w:p>
      <w:pPr>
        <w:spacing w:after="200" w:line="360"/>
        <w:jc w:val="both"/>
      </w:pPr>
      <w:r>
        <w:rPr>
          <w:rFonts w:ascii="Times New Roman" w:cs="Times New Roman" w:eastAsia="Times New Roman" w:hAnsi="Times New Roman"/>
          <w:sz w:val="24"/>
          <w:szCs w:val="24"/>
        </w:rPr>
        <w:t xml:space="preserve">Pendampingan ustaz dan dukungan teman sebaya perlu terus diperkuat, terutama bagi santri yang masih mengalami kesulitan membaca teks tanpa harakat, menerapkan nahwu-sharaf, atau memahami isi kitab.</w:t>
      </w:r>
    </w:p>
    <w:p>
      <w:pPr>
        <w:spacing w:after="200" w:line="360"/>
        <w:jc w:val="both"/>
      </w:pPr>
      <w:r>
        <w:rPr>
          <w:rFonts w:ascii="Times New Roman" w:cs="Times New Roman" w:eastAsia="Times New Roman" w:hAnsi="Times New Roman"/>
          <w:sz w:val="24"/>
          <w:szCs w:val="24"/>
        </w:rPr>
        <w:t xml:space="preserve">Pesantren juga disarankan </w:t>
      </w:r>
      <w:r>
        <w:rPr>
          <w:rFonts w:ascii="Times New Roman" w:cs="Times New Roman" w:eastAsia="Times New Roman" w:hAnsi="Times New Roman"/>
          <w:b/>
          <w:bCs/>
          <w:sz w:val="24"/>
          <w:szCs w:val="24"/>
        </w:rPr>
        <w:t xml:space="preserve">mengevaluasi pelaksanaan kegiatan kompetitif seperti Lomba Literasi Turats agar tetap mendukung proses belajar santri dengan kemampuan yang beragam</w:t>
      </w:r>
      <w:r>
        <w:rPr>
          <w:rFonts w:ascii="Times New Roman" w:cs="Times New Roman" w:eastAsia="Times New Roman" w:hAnsi="Times New Roman"/>
          <w:sz w:val="24"/>
          <w:szCs w:val="24"/>
        </w:rPr>
        <w:t xml:space="preserve">. Kegiatan kompetitif dapat diposisikan sebagai variasi pengalaman belajar tanpa menjadikan kompetisi sebagai satu-satunya ukuran keterlibatan atau kemampuan santri.</w:t>
      </w:r>
    </w:p>
    <w:p>
      <w:pPr>
        <w:spacing w:after="160" w:before="240"/>
        <w:jc w:val="left"/>
      </w:pPr>
      <w:r>
        <w:rPr>
          <w:rFonts w:ascii="Times New Roman" w:cs="Times New Roman" w:eastAsia="Times New Roman" w:hAnsi="Times New Roman"/>
          <w:b/>
          <w:bCs/>
          <w:sz w:val="24"/>
          <w:szCs w:val="24"/>
        </w:rPr>
        <w:t xml:space="preserve">3. Bagi Pengasuh, Ustaz, dan Pengelola Pendidikan Pesantren</w:t>
      </w:r>
    </w:p>
    <w:p>
      <w:pPr>
        <w:spacing w:after="200" w:line="360"/>
        <w:jc w:val="both"/>
      </w:pPr>
      <w:r>
        <w:rPr>
          <w:rFonts w:ascii="Times New Roman" w:cs="Times New Roman" w:eastAsia="Times New Roman" w:hAnsi="Times New Roman"/>
          <w:sz w:val="24"/>
          <w:szCs w:val="24"/>
        </w:rPr>
        <w:t xml:space="preserve">Pengasuh dan pengelola pendidikan pesantren perlu melihat lingkungan pembelajaran secara terpadu dengan menghubungkan aspek fisik, akademik, sosial, dan religius dalam konteks budaya pesantren.</w:t>
      </w:r>
    </w:p>
    <w:p>
      <w:pPr>
        <w:spacing w:after="200" w:line="360"/>
        <w:jc w:val="both"/>
      </w:pPr>
      <w:r>
        <w:rPr>
          <w:rFonts w:ascii="Times New Roman" w:cs="Times New Roman" w:eastAsia="Times New Roman" w:hAnsi="Times New Roman"/>
          <w:sz w:val="24"/>
          <w:szCs w:val="24"/>
        </w:rPr>
        <w:t xml:space="preserve">Ustaz perlu mempertahankan fungsi pendampingan melalui penjelasan, koreksi bacaan, bimbingan, dan pemberian kesempatan bagi santri untuk berlatih. Pendampingan dapat disesuaikan dengan variasi kemampuan agar santri tingkat awal maupun tingkat lanjut tetap memperoleh tantangan dan bantuan yang sesuai.</w:t>
      </w:r>
    </w:p>
    <w:p>
      <w:pPr>
        <w:spacing w:after="200" w:line="360"/>
        <w:jc w:val="both"/>
      </w:pP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dapat dikembangkan secara terarah sebagai bentuk dukungan sosial antarsantri, terutama melalui bantuan santri yang lebih mampu kepada santri yang membutuhkan pendampingan. Namun, bantuan teman sebaya tetap perlu berjalan dalam koordinasi dengan pembimbing atau ustaz.</w:t>
      </w:r>
    </w:p>
    <w:p>
      <w:pPr>
        <w:spacing w:after="200" w:line="360"/>
        <w:jc w:val="both"/>
      </w:pPr>
      <w:r>
        <w:rPr>
          <w:rFonts w:ascii="Times New Roman" w:cs="Times New Roman" w:eastAsia="Times New Roman" w:hAnsi="Times New Roman"/>
          <w:sz w:val="24"/>
          <w:szCs w:val="24"/>
        </w:rPr>
        <w:t xml:space="preserve">Pengelola juga perlu memperhatikan keseimbangan antara struktur program dan fleksibilitas, mengelola kepadatan kegiatan, menyediakan kesempatan membaca yang memadai, serta memantau potensi hambatan seperti kejenuhan dan distraksi teknologi sesuai kondisi pesantren.</w:t>
      </w:r>
    </w:p>
    <w:p>
      <w:pPr>
        <w:spacing w:after="160" w:before="240"/>
        <w:jc w:val="left"/>
      </w:pPr>
      <w:r>
        <w:rPr>
          <w:rFonts w:ascii="Times New Roman" w:cs="Times New Roman" w:eastAsia="Times New Roman" w:hAnsi="Times New Roman"/>
          <w:b/>
          <w:bCs/>
          <w:sz w:val="24"/>
          <w:szCs w:val="24"/>
        </w:rPr>
        <w:t xml:space="preserve">4. Bagi Peneliti Selanjutnya</w:t>
      </w:r>
    </w:p>
    <w:p>
      <w:pPr>
        <w:spacing w:after="200" w:line="360"/>
        <w:jc w:val="both"/>
      </w:pPr>
      <w:r>
        <w:rPr>
          <w:rFonts w:ascii="Times New Roman" w:cs="Times New Roman" w:eastAsia="Times New Roman" w:hAnsi="Times New Roman"/>
          <w:sz w:val="24"/>
          <w:szCs w:val="24"/>
        </w:rPr>
        <w:t xml:space="preserve">Penelitian selanjutnya dapat memperluas jumlah dan karakteristik lokasi penelitian untuk memperoleh gambaran yang lebih beragam mengenai strategi lingkungan pembelajaran kitab turats pada berbagai tipe pesantren.</w:t>
      </w:r>
    </w:p>
    <w:p>
      <w:pPr>
        <w:spacing w:after="200" w:line="360"/>
        <w:jc w:val="both"/>
      </w:pPr>
      <w:r>
        <w:rPr>
          <w:rFonts w:ascii="Times New Roman" w:cs="Times New Roman" w:eastAsia="Times New Roman" w:hAnsi="Times New Roman"/>
          <w:sz w:val="24"/>
          <w:szCs w:val="24"/>
        </w:rPr>
        <w:t xml:space="preserve">Penelitian berikutnya juga dapat memusatkan perhatian secara lebih khusus pada salah satu dimensi lingkungan pembelajaran, seperti lingkungan akademik, sosial, religius, atau fisik, maupun pada mekanisme tertentu seperti </w:t>
      </w:r>
      <w:r>
        <w:rPr>
          <w:rFonts w:ascii="Times New Roman" w:cs="Times New Roman" w:eastAsia="Times New Roman" w:hAnsi="Times New Roman"/>
          <w:i/>
          <w:iCs/>
          <w:sz w:val="24"/>
          <w:szCs w:val="24"/>
        </w:rPr>
        <w:t xml:space="preserve">peer learning</w:t>
      </w:r>
      <w:r>
        <w:rPr>
          <w:rFonts w:ascii="Times New Roman" w:cs="Times New Roman" w:eastAsia="Times New Roman" w:hAnsi="Times New Roman"/>
          <w:sz w:val="24"/>
          <w:szCs w:val="24"/>
        </w:rPr>
        <w:t xml:space="preserve">, pendampingan ustaz, pembiasaan membaca, atau adaptasi pembelajaran berdasarkan kemampuan santri.</w:t>
      </w:r>
    </w:p>
    <w:p>
      <w:pPr>
        <w:spacing w:after="200" w:line="360"/>
        <w:jc w:val="both"/>
      </w:pPr>
      <w:r>
        <w:rPr>
          <w:rFonts w:ascii="Times New Roman" w:cs="Times New Roman" w:eastAsia="Times New Roman" w:hAnsi="Times New Roman"/>
          <w:sz w:val="24"/>
          <w:szCs w:val="24"/>
        </w:rPr>
        <w:t xml:space="preserve">Pendekatan longitudinal juga dapat digunakan untuk memahami perubahan pengalaman belajar dan kemampuan membaca kitab dalam rentang waktu yang lebih panjang.</w:t>
      </w:r>
    </w:p>
    <w:p>
      <w:pPr>
        <w:spacing w:after="200" w:line="360"/>
        <w:jc w:val="both"/>
      </w:pPr>
      <w:r>
        <w:rPr>
          <w:rFonts w:ascii="Times New Roman" w:cs="Times New Roman" w:eastAsia="Times New Roman" w:hAnsi="Times New Roman"/>
          <w:sz w:val="24"/>
          <w:szCs w:val="24"/>
        </w:rPr>
        <w:t xml:space="preserve">Selain itu, penelitian selanjutnya dapat menggunakan </w:t>
      </w:r>
      <w:r>
        <w:rPr>
          <w:rFonts w:ascii="Times New Roman" w:cs="Times New Roman" w:eastAsia="Times New Roman" w:hAnsi="Times New Roman"/>
          <w:b/>
          <w:bCs/>
          <w:sz w:val="24"/>
          <w:szCs w:val="24"/>
        </w:rPr>
        <w:t xml:space="preserve">kombinasi pendekatan kualitatif-kuantitatif apabila diperlukan untuk mengukur perubahan minat dan maharah qira'ah secara kuantitatif</w:t>
      </w:r>
      <w:r>
        <w:rPr>
          <w:rFonts w:ascii="Times New Roman" w:cs="Times New Roman" w:eastAsia="Times New Roman" w:hAnsi="Times New Roman"/>
          <w:sz w:val="24"/>
          <w:szCs w:val="24"/>
        </w:rPr>
        <w:t xml:space="preserve">, sekaligus mempertahankan pendekatan kualitatif untuk memahami proses, pengalaman, dan konteks yang melatarbelakangi perubahan tersebut.</w:t>
      </w:r>
    </w:p>
    <w:p>
      <w:pPr>
        <w:pBdr>
          <w:top w:val="single" w:color="999999" w:sz="6" w:space="4"/>
        </w:pBdr>
        <w:spacing w:before="500"/>
      </w:pPr>
    </w:p>
    <w:p>
      <w:pPr>
        <w:spacing w:after="80" w:before="200"/>
        <w:jc w:val="left"/>
      </w:pPr>
      <w:r>
        <w:rPr>
          <w:rFonts w:ascii="Times New Roman" w:cs="Times New Roman" w:eastAsia="Times New Roman" w:hAnsi="Times New Roman"/>
          <w:b/>
          <w:bCs/>
          <w:i/>
          <w:iCs/>
          <w:sz w:val="20"/>
          <w:szCs w:val="20"/>
        </w:rPr>
        <w:t xml:space="preserve">Keterangan Status Dokumen</w:t>
      </w:r>
    </w:p>
    <w:p>
      <w:pPr>
        <w:spacing w:after="40"/>
        <w:jc w:val="left"/>
      </w:pPr>
      <w:r>
        <w:rPr>
          <w:rFonts w:ascii="Times New Roman" w:cs="Times New Roman" w:eastAsia="Times New Roman" w:hAnsi="Times New Roman"/>
          <w:i/>
          <w:iCs/>
          <w:sz w:val="20"/>
          <w:szCs w:val="20"/>
        </w:rPr>
        <w:t xml:space="preserve">Kode Bab: BAB-V / PENUTUP — Status: LOCKED (FINAL)</w:t>
      </w:r>
    </w:p>
    <w:p>
      <w:pPr>
        <w:spacing w:after="40"/>
        <w:jc w:val="left"/>
      </w:pPr>
      <w:r>
        <w:rPr>
          <w:rFonts w:ascii="Times New Roman" w:cs="Times New Roman" w:eastAsia="Times New Roman" w:hAnsi="Times New Roman"/>
          <w:i/>
          <w:iCs/>
          <w:sz w:val="20"/>
          <w:szCs w:val="20"/>
        </w:rPr>
        <w:t xml:space="preserve">Kode Audit Sitasi: AUD-BABV-00 — Hasil: 0 sitasi author–date ditemukan; 0 sumber baru</w:t>
      </w:r>
    </w:p>
    <w:p>
      <w:pPr>
        <w:spacing w:after="40"/>
        <w:jc w:val="left"/>
      </w:pPr>
      <w:r>
        <w:rPr>
          <w:rFonts w:ascii="Times New Roman" w:cs="Times New Roman" w:eastAsia="Times New Roman" w:hAnsi="Times New Roman"/>
          <w:i/>
          <w:iCs/>
          <w:sz w:val="20"/>
          <w:szCs w:val="20"/>
        </w:rPr>
        <w:t xml:space="preserve">Kumulatif Sumber Unik Bibliografis Bab I–V: 34 sumber (tidak bertambah dari Bab I–IV)</w:t>
      </w:r>
    </w:p>
    <w:p>
      <w:pPr>
        <w:spacing w:after="40"/>
        <w:jc w:val="left"/>
      </w:pPr>
      <w:r>
        <w:rPr>
          <w:rFonts w:ascii="Times New Roman" w:cs="Times New Roman" w:eastAsia="Times New Roman" w:hAnsi="Times New Roman"/>
          <w:sz w:val="20"/>
          <w:szCs w:val="20"/>
        </w:rPr>
        <w:t xml:space="preserve">Catatan: Bab V tidak memuat sitasi author–date sehingga tidak memiliki nomor/kode rujukan pustaka. Nomor/kode referensi bibliografis penuh (Bab I–IV) tercantum pada Daftar Pustaka.</w:t>
      </w:r>
    </w:p>
    <w:sectPr>
      <w:headerReference w:type="default" r:id="rId7"/>
      <w:footerReference w:type="default" r:id="rId8"/>
      <w:pgSz w:w="11906" w:h="16838" w:orient="portrait"/>
      <w:pgMar w:top="1440" w:right="141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8"/>
        <w:szCs w:val="18"/>
      </w:rPr>
      <w:t xml:space="preserve">BAB V — PENUTUP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2026-09-05T08:08:24.677Z</dcterms:created>
  <dcterms:modified xsi:type="dcterms:W3CDTF">2026-09-05T08:08:24.690Z</dcterms:modified>
</cp:coreProperties>
</file>

<file path=docProps/custom.xml><?xml version="1.0" encoding="utf-8"?>
<Properties xmlns="http://schemas.openxmlformats.org/officeDocument/2006/custom-properties" xmlns:vt="http://schemas.openxmlformats.org/officeDocument/2006/docPropsVTypes"/>
</file>