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4"/>
          <w:szCs w:val="34"/>
        </w:rPr>
        <w:t xml:space="preserve">Community Health Clinic Wait-Time Checker</w:t>
      </w:r>
    </w:p>
    <w:p>
      <w:pPr>
        <w:spacing w:after="60"/>
      </w:pPr>
      <w:r>
        <w:rPr>
          <w:i/>
          <w:iCs/>
          <w:color w:val="555555"/>
          <w:sz w:val="22"/>
          <w:szCs w:val="22"/>
        </w:rPr>
        <w:t xml:space="preserve">Planning Exercise — AI Fluency for Builders</w:t>
      </w:r>
    </w:p>
    <w:p>
      <w:pPr>
        <w:spacing w:after="240"/>
      </w:pPr>
      <w:r>
        <w:rPr>
          <w:color w:val="777777"/>
          <w:sz w:val="20"/>
          <w:szCs w:val="20"/>
        </w:rPr>
        <w:t xml:space="preserve">Prepared by Mohd Fazal</w:t>
      </w:r>
    </w:p>
    <w:p>
      <w:pPr>
        <w:pStyle w:val="Heading1"/>
        <w:spacing w:after="150" w:before="300"/>
      </w:pPr>
      <w:r>
        <w:t xml:space="preserve">1. Problem Brief</w:t>
      </w:r>
    </w:p>
    <w:p>
      <w:pPr>
        <w:pStyle w:val="Heading2"/>
        <w:spacing w:after="100" w:before="200"/>
      </w:pPr>
      <w:r>
        <w:t xml:space="preserve">Who are the users?</w:t>
      </w:r>
    </w:p>
    <w:p>
      <w:pPr>
        <w:spacing w:after="120"/>
      </w:pPr>
      <w:r>
        <w:t xml:space="preserve">The primary users are patients of a community health clinic deciding whether, and when, to travel in for a walk-in or scheduled visit. This group is diverse and includes:</w:t>
      </w:r>
    </w:p>
    <w:p>
      <w:pPr>
        <w:pStyle w:val="ListParagraph"/>
        <w:numPr>
          <w:ilvl w:val="0"/>
          <w:numId w:val="2"/>
        </w:numPr>
        <w:spacing w:after="80"/>
      </w:pPr>
      <w:r>
        <w:t xml:space="preserve">Elderly patients and those with limited smartphone literacy, who may prefer a phone call over an app.</w:t>
      </w:r>
    </w:p>
    <w:p>
      <w:pPr>
        <w:pStyle w:val="ListParagraph"/>
        <w:numPr>
          <w:ilvl w:val="0"/>
          <w:numId w:val="2"/>
        </w:numPr>
        <w:spacing w:after="80"/>
      </w:pPr>
      <w:r>
        <w:t xml:space="preserve">Working patients and caregivers who need to plan a visit around a job or childcare, and can't afford to sit in a waiting room for an unknown length of time.</w:t>
      </w:r>
    </w:p>
    <w:p>
      <w:pPr>
        <w:pStyle w:val="ListParagraph"/>
        <w:numPr>
          <w:ilvl w:val="0"/>
          <w:numId w:val="2"/>
        </w:numPr>
        <w:spacing w:after="80"/>
      </w:pPr>
      <w:r>
        <w:t xml:space="preserve">Patients with limited English proficiency who need information in their first language.</w:t>
      </w:r>
    </w:p>
    <w:p>
      <w:pPr>
        <w:pStyle w:val="ListParagraph"/>
        <w:numPr>
          <w:ilvl w:val="0"/>
          <w:numId w:val="2"/>
        </w:numPr>
        <w:spacing w:after="80"/>
      </w:pPr>
      <w:r>
        <w:t xml:space="preserve">Patients on prepaid or limited data plans, who may avoid data-heavy apps.</w:t>
      </w:r>
    </w:p>
    <w:p>
      <w:pPr>
        <w:pStyle w:val="ListParagraph"/>
        <w:numPr>
          <w:ilvl w:val="0"/>
          <w:numId w:val="2"/>
        </w:numPr>
        <w:spacing w:after="80"/>
      </w:pPr>
      <w:r>
        <w:t xml:space="preserve">Front-desk and clinic staff, who are secondary users responsible for keeping wait-time information accurate and who have limited time for extra administrative work.</w:t>
      </w:r>
    </w:p>
    <w:p>
      <w:pPr>
        <w:pStyle w:val="Heading2"/>
        <w:spacing w:after="100" w:before="200"/>
      </w:pPr>
      <w:r>
        <w:t xml:space="preserve">What outcomes do they actually need?</w:t>
      </w:r>
    </w:p>
    <w:p>
      <w:pPr>
        <w:spacing w:after="120"/>
      </w:pPr>
      <w:r>
        <w:t xml:space="preserve">Patients need a fast, honest answer to one question: "Should I go now, or wait?" They need this information before leaving home, not after arriving. The real outcome is fewer wasted trips, less time lost sitting in a waiting room, and a feeling that the clinic respects their time. Staff need the tool to reduce phone interruptions and walk-in crowding without adding to their workload.</w:t>
      </w:r>
    </w:p>
    <w:p>
      <w:pPr>
        <w:pStyle w:val="Heading2"/>
        <w:spacing w:after="100" w:before="200"/>
      </w:pPr>
      <w:r>
        <w:t xml:space="preserve">What should the experience feel like?</w:t>
      </w:r>
    </w:p>
    <w:p>
      <w:pPr>
        <w:spacing w:after="120"/>
      </w:pPr>
      <w:r>
        <w:t xml:space="preserve">The experience should feel effortless, honest, and low-pressure — closer to checking a bus schedule than using a hospital portal. No login, no jargon, and no dead ends. If the estimate is uncertain, the tool should say so plainly rather than presenting false precision. It should feel equally usable whether a patient taps a link, calls a number, or asks a family member to check on their behalf.</w:t>
      </w:r>
    </w:p>
    <w:p>
      <w:pPr>
        <w:pStyle w:val="Heading2"/>
        <w:spacing w:after="100" w:before="200"/>
      </w:pPr>
      <w:r>
        <w:t xml:space="preserve">Real-world constraints</w:t>
      </w:r>
    </w:p>
    <w:p>
      <w:pPr>
        <w:pStyle w:val="ListParagraph"/>
        <w:numPr>
          <w:ilvl w:val="0"/>
          <w:numId w:val="2"/>
        </w:numPr>
        <w:spacing w:after="80"/>
      </w:pPr>
      <w:r>
        <w:rPr>
          <w:b/>
          <w:bCs/>
        </w:rPr>
        <w:t xml:space="preserve">Budget:</w:t>
      </w:r>
      <w:r>
        <w:t xml:space="preserve"> Budget: This is a community clinic, not a hospital system — the solution must be low-cost to build and nearly free to run, ruling out expensive enterprise software.</w:t>
      </w:r>
    </w:p>
    <w:p>
      <w:pPr>
        <w:pStyle w:val="ListParagraph"/>
        <w:numPr>
          <w:ilvl w:val="0"/>
          <w:numId w:val="2"/>
        </w:numPr>
        <w:spacing w:after="80"/>
      </w:pPr>
      <w:r>
        <w:rPr>
          <w:b/>
          <w:bCs/>
        </w:rPr>
        <w:t xml:space="preserve">Technical skill:</w:t>
      </w:r>
      <w:r>
        <w:t xml:space="preserve"> Technical skill: Clinic staff are not technical. Whatever is built must be maintainable by non-engineers, or require virtually no day-to-day upkeep.</w:t>
      </w:r>
    </w:p>
    <w:p>
      <w:pPr>
        <w:pStyle w:val="ListParagraph"/>
        <w:numPr>
          <w:ilvl w:val="0"/>
          <w:numId w:val="2"/>
        </w:numPr>
        <w:spacing w:after="80"/>
      </w:pPr>
      <w:r>
        <w:rPr>
          <w:b/>
          <w:bCs/>
        </w:rPr>
        <w:t xml:space="preserve">Patient devices:</w:t>
      </w:r>
      <w:r>
        <w:t xml:space="preserve"> Patient devices: Many patients use older smartphones, basic feature phones, or shared family devices, so the solution cannot assume a modern app or reliable data connection.</w:t>
      </w:r>
    </w:p>
    <w:p>
      <w:pPr>
        <w:pStyle w:val="ListParagraph"/>
        <w:numPr>
          <w:ilvl w:val="0"/>
          <w:numId w:val="2"/>
        </w:numPr>
        <w:spacing w:after="80"/>
      </w:pPr>
      <w:r>
        <w:rPr>
          <w:b/>
          <w:bCs/>
        </w:rPr>
        <w:t xml:space="preserve">Internet access:</w:t>
      </w:r>
      <w:r>
        <w:t xml:space="preserve"> Internet access: Some patients have unreliable or no home internet, so a phone/SMS option is not a nice-to-have — it is essential for equitable access.</w:t>
      </w:r>
    </w:p>
    <w:p>
      <w:pPr>
        <w:pStyle w:val="ListParagraph"/>
        <w:numPr>
          <w:ilvl w:val="0"/>
          <w:numId w:val="2"/>
        </w:numPr>
        <w:spacing w:after="80"/>
      </w:pPr>
      <w:r>
        <w:rPr>
          <w:b/>
          <w:bCs/>
        </w:rPr>
        <w:t xml:space="preserve">Privacy:</w:t>
      </w:r>
      <w:r>
        <w:t xml:space="preserve"> Privacy: The tool must never expose protected health information (identity, diagnosis, appointment reason) to anyone other than the patient it belongs to.</w:t>
      </w:r>
    </w:p>
    <w:p>
      <w:pPr>
        <w:pStyle w:val="ListParagraph"/>
        <w:numPr>
          <w:ilvl w:val="0"/>
          <w:numId w:val="2"/>
        </w:numPr>
        <w:spacing w:after="80"/>
      </w:pPr>
      <w:r>
        <w:rPr>
          <w:b/>
          <w:bCs/>
        </w:rPr>
        <w:t xml:space="preserve">Staff time:</w:t>
      </w:r>
      <w:r>
        <w:t xml:space="preserve"> Staff time: Any manual data entry required to keep wait times accurate must take seconds, not minutes, or front-desk staff simply will not keep it updated.</w:t>
      </w:r>
    </w:p>
    <w:p>
      <w:pPr>
        <w:pStyle w:val="Heading1"/>
        <w:spacing w:after="150" w:before="300"/>
      </w:pPr>
      <w:r>
        <w:t xml:space="preserve">2. Delegation Plan</w:t>
      </w:r>
    </w:p>
    <w:p>
      <w:pPr>
        <w:spacing w:after="120"/>
      </w:pPr>
      <w:r>
        <w:t xml:space="preserve">The table below maps each of the six toolkit capabilities from the course (Empathy, Design, Architecture, Implementation, Judgement, Shipping) to the AI collaboration mode best suited to this project.</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5400"/>
      </w:tblGrid>
      <w:tr>
        <w:trPr>
          <w:tblHeader/>
        </w:trPr>
        <w:tc>
          <w:tcPr>
            <w:tcW w:type="dxa" w:w="1600"/>
            <w:shd w:fill="D9E2F3" w:val="clear"/>
            <w:tcMar>
              <w:top w:type="dxa" w:w="100"/>
              <w:left w:type="dxa" w:w="120"/>
              <w:bottom w:type="dxa" w:w="100"/>
              <w:right w:type="dxa" w:w="120"/>
            </w:tcMar>
          </w:tcPr>
          <w:p>
            <w:r>
              <w:rPr>
                <w:b/>
                <w:bCs/>
              </w:rPr>
              <w:t xml:space="preserve">Capability</w:t>
            </w:r>
          </w:p>
        </w:tc>
        <w:tc>
          <w:tcPr>
            <w:tcW w:type="dxa" w:w="1700"/>
            <w:shd w:fill="D9E2F3" w:val="clear"/>
            <w:tcMar>
              <w:top w:type="dxa" w:w="100"/>
              <w:left w:type="dxa" w:w="120"/>
              <w:bottom w:type="dxa" w:w="100"/>
              <w:right w:type="dxa" w:w="120"/>
            </w:tcMar>
          </w:tcPr>
          <w:p>
            <w:r>
              <w:rPr>
                <w:b/>
                <w:bCs/>
              </w:rPr>
              <w:t xml:space="preserve">Mode</w:t>
            </w:r>
          </w:p>
        </w:tc>
        <w:tc>
          <w:tcPr>
            <w:tcW w:type="dxa" w:w="5400"/>
            <w:shd w:fill="D9E2F3" w:val="clear"/>
            <w:tcMar>
              <w:top w:type="dxa" w:w="100"/>
              <w:left w:type="dxa" w:w="120"/>
              <w:bottom w:type="dxa" w:w="100"/>
              <w:right w:type="dxa" w:w="120"/>
            </w:tcMar>
          </w:tcPr>
          <w:p>
            <w:r>
              <w:rPr>
                <w:b/>
                <w:bCs/>
              </w:rPr>
              <w:t xml:space="preserve">Why</w:t>
            </w:r>
          </w:p>
        </w:tc>
      </w:tr>
      <w:tr>
        <w:tc>
          <w:tcPr>
            <w:tcW w:type="dxa" w:w="1600"/>
            <w:tcMar>
              <w:top w:type="dxa" w:w="100"/>
              <w:left w:type="dxa" w:w="120"/>
              <w:bottom w:type="dxa" w:w="100"/>
              <w:right w:type="dxa" w:w="120"/>
            </w:tcMar>
          </w:tcPr>
          <w:p>
            <w:r>
              <w:rPr>
                <w:b w:val="false"/>
                <w:bCs w:val="false"/>
              </w:rPr>
              <w:t xml:space="preserve">Empathy</w:t>
            </w:r>
          </w:p>
        </w:tc>
        <w:tc>
          <w:tcPr>
            <w:tcW w:type="dxa" w:w="1700"/>
            <w:tcMar>
              <w:top w:type="dxa" w:w="100"/>
              <w:left w:type="dxa" w:w="120"/>
              <w:bottom w:type="dxa" w:w="100"/>
              <w:right w:type="dxa" w:w="120"/>
            </w:tcMar>
          </w:tcPr>
          <w:p>
            <w:r>
              <w:rPr>
                <w:b w:val="false"/>
                <w:bCs w:val="false"/>
              </w:rPr>
              <w:t xml:space="preserve">Augmentation</w:t>
            </w:r>
          </w:p>
        </w:tc>
        <w:tc>
          <w:tcPr>
            <w:tcW w:type="dxa" w:w="5400"/>
            <w:tcMar>
              <w:top w:type="dxa" w:w="100"/>
              <w:left w:type="dxa" w:w="120"/>
              <w:bottom w:type="dxa" w:w="100"/>
              <w:right w:type="dxa" w:w="120"/>
            </w:tcMar>
          </w:tcPr>
          <w:p>
            <w:r>
              <w:rPr>
                <w:b w:val="false"/>
                <w:bCs w:val="false"/>
              </w:rPr>
              <w:t xml:space="preserve">AI can help synthesize patient and staff interview notes into themes, but real conversations with patients and front-desk staff must be conducted by a human to capture authentic frustration and context.</w:t>
            </w:r>
          </w:p>
        </w:tc>
      </w:tr>
      <w:tr>
        <w:tc>
          <w:tcPr>
            <w:tcW w:type="dxa" w:w="1600"/>
            <w:tcMar>
              <w:top w:type="dxa" w:w="100"/>
              <w:left w:type="dxa" w:w="120"/>
              <w:bottom w:type="dxa" w:w="100"/>
              <w:right w:type="dxa" w:w="120"/>
            </w:tcMar>
          </w:tcPr>
          <w:p>
            <w:r>
              <w:rPr>
                <w:b w:val="false"/>
                <w:bCs w:val="false"/>
              </w:rPr>
              <w:t xml:space="preserve">Design</w:t>
            </w:r>
          </w:p>
        </w:tc>
        <w:tc>
          <w:tcPr>
            <w:tcW w:type="dxa" w:w="1700"/>
            <w:tcMar>
              <w:top w:type="dxa" w:w="100"/>
              <w:left w:type="dxa" w:w="120"/>
              <w:bottom w:type="dxa" w:w="100"/>
              <w:right w:type="dxa" w:w="120"/>
            </w:tcMar>
          </w:tcPr>
          <w:p>
            <w:r>
              <w:rPr>
                <w:b w:val="false"/>
                <w:bCs w:val="false"/>
              </w:rPr>
              <w:t xml:space="preserve">Augmentation</w:t>
            </w:r>
          </w:p>
        </w:tc>
        <w:tc>
          <w:tcPr>
            <w:tcW w:type="dxa" w:w="5400"/>
            <w:tcMar>
              <w:top w:type="dxa" w:w="100"/>
              <w:left w:type="dxa" w:w="120"/>
              <w:bottom w:type="dxa" w:w="100"/>
              <w:right w:type="dxa" w:w="120"/>
            </w:tcMar>
          </w:tcPr>
          <w:p>
            <w:r>
              <w:rPr>
                <w:b w:val="false"/>
                <w:bCs w:val="false"/>
              </w:rPr>
              <w:t xml:space="preserve">AI can quickly draft wireframe options, screen copy, and SMS message wording, but a human must choose the final flow based on what is realistic for elderly or low-literacy patients.</w:t>
            </w:r>
          </w:p>
        </w:tc>
      </w:tr>
      <w:tr>
        <w:tc>
          <w:tcPr>
            <w:tcW w:type="dxa" w:w="1600"/>
            <w:tcMar>
              <w:top w:type="dxa" w:w="100"/>
              <w:left w:type="dxa" w:w="120"/>
              <w:bottom w:type="dxa" w:w="100"/>
              <w:right w:type="dxa" w:w="120"/>
            </w:tcMar>
          </w:tcPr>
          <w:p>
            <w:r>
              <w:rPr>
                <w:b w:val="false"/>
                <w:bCs w:val="false"/>
              </w:rPr>
              <w:t xml:space="preserve">Architecture</w:t>
            </w:r>
          </w:p>
        </w:tc>
        <w:tc>
          <w:tcPr>
            <w:tcW w:type="dxa" w:w="1700"/>
            <w:tcMar>
              <w:top w:type="dxa" w:w="100"/>
              <w:left w:type="dxa" w:w="120"/>
              <w:bottom w:type="dxa" w:w="100"/>
              <w:right w:type="dxa" w:w="120"/>
            </w:tcMar>
          </w:tcPr>
          <w:p>
            <w:r>
              <w:rPr>
                <w:b w:val="false"/>
                <w:bCs w:val="false"/>
              </w:rPr>
              <w:t xml:space="preserve">Augmentation</w:t>
            </w:r>
          </w:p>
        </w:tc>
        <w:tc>
          <w:tcPr>
            <w:tcW w:type="dxa" w:w="5400"/>
            <w:tcMar>
              <w:top w:type="dxa" w:w="100"/>
              <w:left w:type="dxa" w:w="120"/>
              <w:bottom w:type="dxa" w:w="100"/>
              <w:right w:type="dxa" w:w="120"/>
            </w:tcMar>
          </w:tcPr>
          <w:p>
            <w:r>
              <w:rPr>
                <w:b w:val="false"/>
                <w:bCs w:val="false"/>
              </w:rPr>
              <w:t xml:space="preserve">AI can compare technical options (SMS gateway vs. simple web page vs. EHR integration) and list trade-offs, but the clinic's IT lead must make the final call given budget and existing systems.</w:t>
            </w:r>
          </w:p>
        </w:tc>
      </w:tr>
      <w:tr>
        <w:tc>
          <w:tcPr>
            <w:tcW w:type="dxa" w:w="1600"/>
            <w:tcMar>
              <w:top w:type="dxa" w:w="100"/>
              <w:left w:type="dxa" w:w="120"/>
              <w:bottom w:type="dxa" w:w="100"/>
              <w:right w:type="dxa" w:w="120"/>
            </w:tcMar>
          </w:tcPr>
          <w:p>
            <w:r>
              <w:rPr>
                <w:b w:val="false"/>
                <w:bCs w:val="false"/>
              </w:rPr>
              <w:t xml:space="preserve">Implementation</w:t>
            </w:r>
          </w:p>
        </w:tc>
        <w:tc>
          <w:tcPr>
            <w:tcW w:type="dxa" w:w="1700"/>
            <w:tcMar>
              <w:top w:type="dxa" w:w="100"/>
              <w:left w:type="dxa" w:w="120"/>
              <w:bottom w:type="dxa" w:w="100"/>
              <w:right w:type="dxa" w:w="120"/>
            </w:tcMar>
          </w:tcPr>
          <w:p>
            <w:r>
              <w:rPr>
                <w:b w:val="false"/>
                <w:bCs w:val="false"/>
              </w:rPr>
              <w:t xml:space="preserve">Automation</w:t>
            </w:r>
          </w:p>
        </w:tc>
        <w:tc>
          <w:tcPr>
            <w:tcW w:type="dxa" w:w="5400"/>
            <w:tcMar>
              <w:top w:type="dxa" w:w="100"/>
              <w:left w:type="dxa" w:w="120"/>
              <w:bottom w:type="dxa" w:w="100"/>
              <w:right w:type="dxa" w:w="120"/>
            </w:tcMar>
          </w:tcPr>
          <w:p>
            <w:r>
              <w:rPr>
                <w:b w:val="false"/>
                <w:bCs w:val="false"/>
              </w:rPr>
              <w:t xml:space="preserve">Once the design and architecture are locked, building the wait-time page or SMS auto-responder is a well-defined, repeatable coding task AI can execute directly under human review.</w:t>
            </w:r>
          </w:p>
        </w:tc>
      </w:tr>
      <w:tr>
        <w:tc>
          <w:tcPr>
            <w:tcW w:type="dxa" w:w="1600"/>
            <w:tcMar>
              <w:top w:type="dxa" w:w="100"/>
              <w:left w:type="dxa" w:w="120"/>
              <w:bottom w:type="dxa" w:w="100"/>
              <w:right w:type="dxa" w:w="120"/>
            </w:tcMar>
          </w:tcPr>
          <w:p>
            <w:r>
              <w:rPr>
                <w:b w:val="false"/>
                <w:bCs w:val="false"/>
              </w:rPr>
              <w:t xml:space="preserve">Judgement</w:t>
            </w:r>
          </w:p>
        </w:tc>
        <w:tc>
          <w:tcPr>
            <w:tcW w:type="dxa" w:w="1700"/>
            <w:tcMar>
              <w:top w:type="dxa" w:w="100"/>
              <w:left w:type="dxa" w:w="120"/>
              <w:bottom w:type="dxa" w:w="100"/>
              <w:right w:type="dxa" w:w="120"/>
            </w:tcMar>
          </w:tcPr>
          <w:p>
            <w:r>
              <w:rPr>
                <w:b w:val="false"/>
                <w:bCs w:val="false"/>
              </w:rPr>
              <w:t xml:space="preserve">Augmentation</w:t>
            </w:r>
          </w:p>
        </w:tc>
        <w:tc>
          <w:tcPr>
            <w:tcW w:type="dxa" w:w="5400"/>
            <w:tcMar>
              <w:top w:type="dxa" w:w="100"/>
              <w:left w:type="dxa" w:w="120"/>
              <w:bottom w:type="dxa" w:w="100"/>
              <w:right w:type="dxa" w:w="120"/>
            </w:tcMar>
          </w:tcPr>
          <w:p>
            <w:r>
              <w:rPr>
                <w:b w:val="false"/>
                <w:bCs w:val="false"/>
              </w:rPr>
              <w:t xml:space="preserve">AI can flag privacy and compliance risks (e.g., accidental exposure of patient identity) for review, but the clinic director must own the final decision since patient trust and legal accountability cannot be outsourced.</w:t>
            </w:r>
          </w:p>
        </w:tc>
      </w:tr>
      <w:tr>
        <w:tc>
          <w:tcPr>
            <w:tcW w:type="dxa" w:w="1600"/>
            <w:tcMar>
              <w:top w:type="dxa" w:w="100"/>
              <w:left w:type="dxa" w:w="120"/>
              <w:bottom w:type="dxa" w:w="100"/>
              <w:right w:type="dxa" w:w="120"/>
            </w:tcMar>
          </w:tcPr>
          <w:p>
            <w:r>
              <w:rPr>
                <w:b w:val="false"/>
                <w:bCs w:val="false"/>
              </w:rPr>
              <w:t xml:space="preserve">Shipping</w:t>
            </w:r>
          </w:p>
        </w:tc>
        <w:tc>
          <w:tcPr>
            <w:tcW w:type="dxa" w:w="1700"/>
            <w:tcMar>
              <w:top w:type="dxa" w:w="100"/>
              <w:left w:type="dxa" w:w="120"/>
              <w:bottom w:type="dxa" w:w="100"/>
              <w:right w:type="dxa" w:w="120"/>
            </w:tcMar>
          </w:tcPr>
          <w:p>
            <w:r>
              <w:rPr>
                <w:b w:val="false"/>
                <w:bCs w:val="false"/>
              </w:rPr>
              <w:t xml:space="preserve">Agency</w:t>
            </w:r>
          </w:p>
        </w:tc>
        <w:tc>
          <w:tcPr>
            <w:tcW w:type="dxa" w:w="5400"/>
            <w:tcMar>
              <w:top w:type="dxa" w:w="100"/>
              <w:left w:type="dxa" w:w="120"/>
              <w:bottom w:type="dxa" w:w="100"/>
              <w:right w:type="dxa" w:w="120"/>
            </w:tcMar>
          </w:tcPr>
          <w:p>
            <w:r>
              <w:rPr>
                <w:b w:val="false"/>
                <w:bCs w:val="false"/>
              </w:rPr>
              <w:t xml:space="preserve">Once monitoring rules and alert thresholds are agreed, an AI agent can be configured to watch uptime, flag broken links, and log incidents automatically, freeing staff to focus on patient feedback.</w:t>
            </w:r>
          </w:p>
        </w:tc>
      </w:tr>
    </w:tbl>
    <w:p>
      <w:pPr>
        <w:spacing w:after="200"/>
      </w:pPr>
    </w:p>
    <w:p>
      <w:pPr>
        <w:pStyle w:val="Heading1"/>
        <w:spacing w:after="150" w:before="300"/>
      </w:pPr>
      <w:r>
        <w:t xml:space="preserve">3. Acceptance Tests</w:t>
      </w:r>
    </w:p>
    <w:p>
      <w:pPr>
        <w:spacing w:after="120"/>
      </w:pPr>
      <w:r>
        <w:t xml:space="preserve">Each test below is written to be measurable and checkable as a simple pass or fail.</w:t>
      </w:r>
    </w:p>
    <w:p>
      <w:pPr>
        <w:spacing w:after="140"/>
      </w:pPr>
      <w:r>
        <w:rPr>
          <w:b/>
          <w:bCs/>
        </w:rPr>
        <w:t xml:space="preserve">Test 1: </w:t>
      </w:r>
      <w:r>
        <w:t xml:space="preserve">A patient without a smartphone can call a phone line or send a text and receive an estimated wait time (in minutes) within 60 seconds.</w:t>
      </w:r>
    </w:p>
    <w:p>
      <w:pPr>
        <w:spacing w:after="140"/>
      </w:pPr>
      <w:r>
        <w:rPr>
          <w:b/>
          <w:bCs/>
        </w:rPr>
        <w:t xml:space="preserve">Test 2: </w:t>
      </w:r>
      <w:r>
        <w:t xml:space="preserve">The wait-time web page fully loads and displays a result within 5 seconds on a basic Android phone using a 3G connection.</w:t>
      </w:r>
    </w:p>
    <w:p>
      <w:pPr>
        <w:spacing w:after="140"/>
      </w:pPr>
      <w:r>
        <w:rPr>
          <w:b/>
          <w:bCs/>
        </w:rPr>
        <w:t xml:space="preserve">Test 3: </w:t>
      </w:r>
      <w:r>
        <w:t xml:space="preserve">No individually identifiable patient health information (name, diagnosis, appointment reason, chart data) appears anywhere in the displayed wait time or SMS response.</w:t>
      </w:r>
    </w:p>
    <w:p>
      <w:pPr>
        <w:spacing w:after="140"/>
      </w:pPr>
      <w:r>
        <w:rPr>
          <w:b/>
          <w:bCs/>
        </w:rPr>
        <w:t xml:space="preserve">Test 4: </w:t>
      </w:r>
      <w:r>
        <w:t xml:space="preserve">A patient can view the wait time without creating an account, logging in, or installing an app.</w:t>
      </w:r>
    </w:p>
    <w:p>
      <w:pPr>
        <w:spacing w:after="140"/>
      </w:pPr>
      <w:r>
        <w:rPr>
          <w:b/>
          <w:bCs/>
        </w:rPr>
        <w:t xml:space="preserve">Test 5: </w:t>
      </w:r>
      <w:r>
        <w:t xml:space="preserve">Across a sample of 30 clinic visits, the displayed wait-time estimate is accurate within plus or minus 15 minutes of the wait patients actually experienced.</w:t>
      </w:r>
    </w:p>
    <w:p>
      <w:pPr>
        <w:spacing w:after="140"/>
      </w:pPr>
      <w:r>
        <w:rPr>
          <w:b/>
          <w:bCs/>
        </w:rPr>
        <w:t xml:space="preserve">Test 6: </w:t>
      </w:r>
      <w:r>
        <w:t xml:space="preserve">The wait-time information is available in at least English and Spanish (or the clinic's top two patient languages).</w:t>
      </w:r>
    </w:p>
    <w:p>
      <w:pPr>
        <w:spacing w:after="140"/>
      </w:pPr>
      <w:r>
        <w:rPr>
          <w:b/>
          <w:bCs/>
        </w:rPr>
        <w:t xml:space="preserve">Test 7: </w:t>
      </w:r>
      <w:r>
        <w:t xml:space="preserve">A front-desk staff member with no technical training can manually override or correct the displayed wait time within 30 seconds during a system outage or unexpected delay.</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2026-07-25T06:02:02.052Z</dcterms:created>
  <dcterms:modified xsi:type="dcterms:W3CDTF">2026-07-25T06:02:02.066Z</dcterms:modified>
</cp:coreProperties>
</file>

<file path=docProps/custom.xml><?xml version="1.0" encoding="utf-8"?>
<Properties xmlns="http://schemas.openxmlformats.org/officeDocument/2006/custom-properties" xmlns:vt="http://schemas.openxmlformats.org/officeDocument/2006/docPropsVTypes"/>
</file>