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Mitacs Accelerate Research Proposal</w:t>
      </w:r>
    </w:p>
    <w:p>
      <w:r>
        <w:t>Applicant: Dr. Anika Patel | Institution: University of Manitoba | Partner: Turtle Island Wellness Collective</w:t>
      </w:r>
    </w:p>
    <w:p>
      <w:pPr>
        <w:pStyle w:val="Heading2"/>
      </w:pPr>
      <w:r>
        <w:t>1.1 Project Summary</w:t>
      </w:r>
    </w:p>
    <w:p>
      <w:r>
        <w:t>Turtle Island Wellness Collective (TIWC) is an Indigenous-led non-profit serving six Anishinaabe communities in northern Manitoba. TIWC operates a community health navigation program that connects community members with provincial health services but currently relies entirely on phone-based coordination between health navigators and clients. The existing system creates gaps in follow-up care and burdens navigators with manual scheduling.</w:t>
        <w:br/>
        <w:br/>
        <w:t>This project will co-design and develop a culturally adapted digital health navigation platform that supports secure messaging, appointment booking, and care plan tracking between navigators and clients, incorporating Indigenous concepts of relational care and community wellness. The research challenge is to develop a human-computer interaction (HCI) design methodology that authentically embeds Indigenous values (particularly the Medicine Wheel framework) into a digital interface, rather than retrofitting a Western health tech paradigm.</w:t>
        <w:br/>
        <w:br/>
        <w:t>Expected outcomes: A production-ready mobile application deployed across all six TIWC communities, a community data governance framework developed in partnership with community Elders, and a peer-reviewed publication on Indigenous-centered HCI design.</w:t>
      </w:r>
    </w:p>
    <w:p>
      <w:pPr>
        <w:pStyle w:val="Heading2"/>
      </w:pPr>
      <w:r>
        <w:t>1.2 Project Context</w:t>
      </w:r>
    </w:p>
    <w:p>
      <w:r>
        <w:rPr>
          <w:b/>
        </w:rPr>
        <w:t>Research Problem:</w:t>
      </w:r>
    </w:p>
    <w:p>
      <w:r>
        <w:t>How can Indigenous cultural frameworks — specifically the Medicine Wheel's four dimensions of holistic health — be operationalized as concrete UX design principles for a digital health navigation tool that is trusted and adopted by Anishinaabe community members in northern Manitoba?</w:t>
      </w:r>
    </w:p>
    <w:p>
      <w:r>
        <w:rPr>
          <w:b/>
        </w:rPr>
        <w:t>Background and Review of Relevant Prior Work:</w:t>
      </w:r>
    </w:p>
    <w:p>
      <w:r>
        <w:t>Indigenous peoples in Canada face significant health disparities, with First Nations communities experiencing higher rates of chronic disease, lower life expectancy, and limited access to specialist care [1]. A key barrier is discontinuity of care: community members are often referred to distant urban centres without adequate follow-up infrastructure [2].</w:t>
        <w:br/>
        <w:br/>
        <w:t>Health navigation programs — in which trained community members serve as liaisons between patients and the health system — have demonstrated significant effectiveness in improving access and outcomes for Indigenous populations [3]. Digital augmentation of navigation programs has the potential to extend navigator capacity, but existing health apps are designed for Western individualistic health models and employ surveillance-oriented architectures that conflict with Indigenous data sovereignty principles [4].</w:t>
        <w:br/>
        <w:br/>
        <w:t>The OCAP® (Ownership, Control, Access, and Possession) principles, established by the First Nations Information Governance Centre, provide a framework for data governance in Indigenous research contexts [5]. Recent scholarship in Indigenous HCI (e.g., Eglash et al. on community-based design [6]; Bidwell et al. on rural Indigenous technology adoption [7]) emphasizes co-design processes led by community knowledge holders as essential for technology acceptance and sustained use.</w:t>
        <w:br/>
        <w:br/>
        <w:t>The Medicine Wheel, a framework central to many Plains and Great Lakes Algonquian traditions, conceptualizes wellness holistically across physical, mental, emotional, and spiritual dimensions [8]. Operationalizing this as UX design guidance — for navigation flows, notification logic, and interface language — represents a novel contribution to both Indigenous HCI and digital health informatics.</w:t>
        <w:br/>
        <w:br/>
        <w:t>References:</w:t>
        <w:br/>
        <w:t>[1] FNIGC (2018). National Report of the First Nations Regional Health Survey. Ottawa.</w:t>
        <w:br/>
        <w:t>[2] Lavoie, J. et al. (2010). Have investments in on-reserve health services and initiatives promoting community control paid off? Social Science &amp; Medicine, 70.</w:t>
        <w:br/>
        <w:t>[3] Panagiotopoulos, I. et al. (2014). Patient navigation programs. Systematic review, J. General Internal Medicine, 29.</w:t>
        <w:br/>
        <w:t>[4] Kukutai, T. &amp; Taylor, J. (Eds.) (2016). Indigenous Data Sovereignty. ANU Press.</w:t>
        <w:br/>
        <w:t>[5] FNIGC (2014). Ownership, Control, Access and Possession (OCAP®). Ottawa.</w:t>
        <w:br/>
        <w:t>[6] Eglash, R. (1999). African Fractals. Rutgers University Press.</w:t>
        <w:br/>
        <w:t>[7] Bidwell, N. (2016). Moving the centre to design social media in rural Africa. AI &amp; Society, 31.</w:t>
        <w:br/>
        <w:t>[8] Absolon, K. (2011). Kaandossiwin: How We Come to Know. Fernwood Publishing.</w:t>
      </w:r>
    </w:p>
    <w:p>
      <w:pPr>
        <w:pStyle w:val="Heading2"/>
      </w:pPr>
      <w:r>
        <w:t>1.3 Overall Project Objectives</w:t>
      </w:r>
    </w:p>
    <w:p>
      <w:r>
        <w:t>Co-design, develop, and deploy a culturally adapted digital health navigation platform for Turtle Island Wellness Collective that operationalizes Medicine Wheel wellness principles as HCI design patterns, complies with OCAP® data sovereignty standards, and achieves ≥ 70% sustained adoption among active health navigation clients within 3 months of deployment.</w:t>
      </w:r>
    </w:p>
    <w:p>
      <w:pPr>
        <w:pStyle w:val="Heading2"/>
      </w:pPr>
      <w:r>
        <w:t>1.4 Project Sub-Objectives &amp; Timeline</w:t>
      </w:r>
    </w:p>
    <w:p>
      <w:r>
        <w:t>Duration: 18 months | Intern: PhD 1 (Health Informatics)</w:t>
        <w:br/>
        <w:br/>
        <w:t>Sub-Objective 1 — Community engagement and co-design (Months 1–5, PhD 1):</w:t>
        <w:br/>
        <w:t xml:space="preserve">  Task 1.1: Conduct talking circles with community Elders and health navigators to identify wellness priorities and cultural values for the platform (Months 1–3)</w:t>
        <w:br/>
        <w:t xml:space="preserve">  Task 1.2: Develop and validate Medicine Wheel UX design principles with community feedback (Months 3–5)</w:t>
        <w:br/>
        <w:br/>
        <w:t>Sub-Objective 2 — Platform development (Months 4–11, PhD 1):</w:t>
        <w:br/>
        <w:t xml:space="preserve">  Task 2.1: Develop community data governance framework with TIWC board and Elders (Months 4–6)</w:t>
        <w:br/>
        <w:t xml:space="preserve">  Task 2.2: Build React Native mobile application with end-to-end encrypted messaging and FHIR-compliant care plan module (Months 5–9)</w:t>
        <w:br/>
        <w:t xml:space="preserve">  Task 2.3: Iterative usability testing with 15 navigators and 30 clients using community-based participatory research methods (Months 8–11)</w:t>
        <w:br/>
        <w:br/>
        <w:t>Sub-Objective 3 — Deployment and evaluation (Months 11–16, PhD 1):</w:t>
        <w:br/>
        <w:t xml:space="preserve">  Task 3.1: Phased rollout to all six communities with on-site training (Months 11–13)</w:t>
        <w:br/>
        <w:t xml:space="preserve">  Task 3.2: Measure adoption, navigator efficiency, and care continuity metrics (Months 13–16)</w:t>
        <w:br/>
        <w:br/>
        <w:t>Sub-Objective 4 — Dissemination (Months 15–18, PhD 1):</w:t>
        <w:br/>
        <w:t xml:space="preserve">  Task 4.1: Submit manuscript to Journal of the American Medical Informatics Association (JAMIA) or First Nations Perspectives</w:t>
        <w:br/>
        <w:t xml:space="preserve">  Task 4.2: Knowledge translation workshop for TIWC board and partner communities</w:t>
      </w:r>
    </w:p>
    <w:p>
      <w:pPr>
        <w:pStyle w:val="Heading2"/>
      </w:pPr>
      <w:r>
        <w:t>1.5 Methodology/Approach</w:t>
      </w:r>
    </w:p>
    <w:p>
      <w:r>
        <w:t>This project uses Community-Based Participatory Research (CBPR) as its overarching methodology, following the iterative co-design approach described by Israel et al. [9]. All research activities have been reviewed and approved by TIWC's community research ethics committee (letter of support attached).</w:t>
        <w:br/>
        <w:br/>
        <w:t>Phase 1 (Co-design): Talking circles will be conducted in English and Ojibwe (with Elder-approved translation) in each of the six communities. Circles will be facilitated by the PhD intern under the mentorship of TIWC's Cultural Director (Elder Margaret Swifthawk). Audio recordings will remain under TIWC's custody per OCAP® principles. Analysis will use an Indigenous grounded theory approach [10].</w:t>
        <w:br/>
        <w:br/>
        <w:t>Phase 2 (Development): The platform will be built as a React Native app with a FastAPI backend hosted on a TIWC-controlled server (not cloud-hosted, per community preference for data locality). End-to-end encryption (Signal Protocol) will be implemented for all messaging. FHIR R4 will be used for care plan interoperability with the Manitoba Health provincial system. All data remains under TIWC's ownership.</w:t>
        <w:br/>
        <w:br/>
        <w:t>Phase 3 (Evaluation): Adoption will be measured using app analytics (session frequency, feature use). Care continuity will be measured by navigator-reported follow-up completion rates compared to a 6-month pre-implementation baseline. A mixed-methods evaluation will include structured interviews with a sample of navigators (n=10) and clients (n=20) at 3 months post-launch.</w:t>
        <w:br/>
        <w:br/>
        <w:t>The PhD intern has limited prior experience with Indigenous research methodologies. To address this, TIWC's Cultural Director will provide structured mentorship throughout the project, and the intern will complete the First Nations University of Canada's online certificate in Indigenous Research Methods (Months 1–3). This training plan has been approved by Elder Swifthawk and the TIWC board.</w:t>
        <w:br/>
        <w:br/>
        <w:t>References:</w:t>
        <w:br/>
        <w:t>[9] Israel, B. et al. (2005). Methods in Community-Based Participatory Research for Health. Jossey-Bass.</w:t>
        <w:br/>
        <w:t>[10] Kovach, M. (2009). Indigenous Methodologies. University of Toronto Press.</w:t>
      </w:r>
    </w:p>
    <w:p>
      <w:pPr>
        <w:pStyle w:val="Heading2"/>
      </w:pPr>
      <w:r>
        <w:t>1.6 Deliverables</w:t>
      </w:r>
    </w:p>
    <w:p>
      <w:r>
        <w:t>✓ Production React Native application deployed across six TIWC communities</w:t>
        <w:br/>
        <w:t>✓ TIWC Community Data Governance Framework (community-owned document)</w:t>
        <w:br/>
        <w:t>✓ Peer-reviewed journal article on Indigenous-centered HCI design</w:t>
        <w:br/>
        <w:t>✓ Knowledge translation workshop and community report (in accessible language)</w:t>
        <w:br/>
        <w:t>✓ PhD thesis chapter</w:t>
        <w:br/>
        <w:t>✓ Open-source Medicine Wheel UX design pattern library (with TIWC approval)</w:t>
      </w:r>
    </w:p>
    <w:p>
      <w:pPr>
        <w:pStyle w:val="Heading2"/>
      </w:pPr>
      <w:r>
        <w:t>1.7 Partner Interaction</w:t>
      </w:r>
    </w:p>
    <w:p>
      <w:r>
        <w:t>Interaction mode: Hybrid — the PhD intern will spend 8 weeks on-site across the six communities (distributed across Phases 1 and 3); remote during development phase. Travel costs are included in the intern's budget.</w:t>
        <w:br/>
        <w:br/>
        <w:t>The intern will work directly with TIWC's health navigator team (6 navigators), Cultural Director (Elder Swifthawk), and CEO (Ms. Leanne Fontaine). Monthly steering committee meetings will include TIWC board representatives, Dr. Patel, and the intern.</w:t>
        <w:br/>
        <w:br/>
        <w:t>Academic supervision: Dr. Patel will meet weekly with the intern for the first 6 months and bi-weekly thereafter. The intern will present work at the University of Manitoba's Global Health seminar and the Annual Indigenous Health Conference.</w:t>
        <w:br/>
        <w:br/>
        <w:t>Career development: The intern will develop expertise in Indigenous research ethics, CBPR methodology, mobile health application development, and FHIR health data standards — a unique interdisciplinary profile for careers in digital health equity.</w:t>
      </w:r>
    </w:p>
    <w:p>
      <w:pPr>
        <w:pStyle w:val="Heading2"/>
      </w:pPr>
      <w:r>
        <w:t>1.8 Benefit to the Partner Organization and to Canada</w:t>
      </w:r>
    </w:p>
    <w:p>
      <w:r>
        <w:t>✓ R&amp;D to improve a product, process or market innovation</w:t>
        <w:br/>
        <w:t>✓ Use of project results to address a societal challenge</w:t>
        <w:br/>
        <w:t>✓ Contribution to the development of skilled talent in Canada</w:t>
        <w:br/>
        <w:t>✓ Fostering new collaborations</w:t>
        <w:br/>
        <w:br/>
        <w:t>TIWC will gain a self-hosted digital platform that extends its navigators' reach, reduces care gaps, and respects community data sovereignty. The project directly addresses Indigenous health equity — a priority in the federal government's reconciliation agenda and Canada's UNDRIP implementation. The open-source UX pattern library will be available to other Indigenous health organizations.</w:t>
        <w:br/>
        <w:br/>
        <w:t>IP and data: All data remains owned by TIWC. The application code is jointly owned with a perpetual license granted to TIWC. No IP transfer to a non-Indigenous commercial entity. No export-controlled technologies involved.</w:t>
      </w:r>
    </w:p>
    <w:p>
      <w:pPr>
        <w:pStyle w:val="Heading2"/>
      </w:pPr>
      <w:r>
        <w:t>1.9 Indigenous Community Involvement or Impact</w:t>
      </w:r>
    </w:p>
    <w:p>
      <w:r>
        <w:t>This project directly involves and serves six Anishinaabe communities in northern Manitoba through Turtle Island Wellness Collective. The following addresses the four required elements:</w:t>
        <w:br/>
        <w:br/>
        <w:t>Community support and respect: TIWC's board of directors voted unanimously to partner on this project (resolution attached). Elder Margaret Swifthawk has provided a letter of support and agreed to serve as Cultural Director for the project. Community input on research priorities was gathered through informal sharing circles held by TIWC in fall 2023 prior to this submission.</w:t>
        <w:br/>
        <w:br/>
        <w:t>Collaborative research practices: All research activities will follow CBPR principles. The PhD intern will be jointly supervised by Dr. Patel (academic) and Elder Swifthawk (cultural). Community members will participate in all design phases as co-designers, not merely research subjects. Community co-authorship is planned for the journal publication.</w:t>
        <w:br/>
        <w:br/>
        <w:t>Access and use governance: A formal Community Data Governance Framework will be developed in Sub-Objective 2.1, co-authored by the TIWC board and Elders. All platform data will be stored on TIWC-owned servers within community jurisdiction. OCAP® principles govern all data collection, storage, and use. Raw data will not leave TIWC custody without explicit band council resolution authorization.</w:t>
        <w:br/>
        <w:br/>
        <w:t>Team experience and expertise: Dr. Patel has 5 years of experience in Indigenous health research and has completed CIHR's Indigenous Research training program (2021). The PhD intern has limited experience in Indigenous research methods; this is addressed through the First Nations University certificate (Months 1–3) and Elder Swifthawk's direct mentorship throughout the project. Two TIWC health navigators with lived experience will serve as community research assistants.</w:t>
      </w:r>
    </w:p>
    <w:p>
      <w:pPr>
        <w:pStyle w:val="Heading2"/>
      </w:pPr>
      <w:r>
        <w:t>1.10 Relationship with Past/Present Mitacs Projects</w:t>
      </w:r>
    </w:p>
    <w:p>
      <w:r>
        <w:t>Yes — Dr. Patel has a concurrent Mitacs Accelerate project (IT17852) on Indigenous mental health data infrastructure for a different partner (Sioux Lookout First Nations Health Authority). The two projects are related in that both address Indigenous digital health, but are distinct in community context (northern Manitoba vs. northwestern Ontario), technical focus (navigation/care coordination vs. mental health screening), and partner organization. Supervision is shared with separate interns and separate budgets. Dr. Patel has confirmed with the University of Manitoba research office that this dual supervision is within approved workload limits. TIWC and SLFNHA have been informed of each other's projects and have no objections.</w:t>
      </w:r>
    </w:p>
    <w:p>
      <w:pPr>
        <w:pStyle w:val="Heading2"/>
      </w:pPr>
      <w:r>
        <w:t>1.11 References</w:t>
      </w:r>
    </w:p>
    <w:p>
      <w:r>
        <w:t>[1] FNIGC (2018). National Report of the First Nations Regional Health Survey.</w:t>
        <w:br/>
        <w:t>[2] Lavoie et al. (2010). Social Science &amp; Medicine, 70.</w:t>
        <w:br/>
        <w:t>[3] Panagiotopoulos et al. (2014). J. General Internal Medicine, 29.</w:t>
        <w:br/>
        <w:t>[4] Kukutai &amp; Taylor (2016). Indigenous Data Sovereignty. ANU Press.</w:t>
        <w:br/>
        <w:t>[5] FNIGC (2014). OCAP® Principles.</w:t>
        <w:br/>
        <w:t>[6] Eglash (1999). African Fractals. Rutgers.</w:t>
        <w:br/>
        <w:t>[7] Bidwell (2016). AI &amp; Society, 31.</w:t>
        <w:br/>
        <w:t>[8] Absolon (2011). Kaandossiwin. Fernwood.</w:t>
        <w:br/>
        <w:t>[9] Israel et al. (2005). CBPR Methods. Jossey-Bass.</w:t>
        <w:br/>
        <w:t>[10] Kovach (2009). Indigenous Methodologies. U of Toronto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