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Strategy Session Minutes</w:t>
      </w:r>
    </w:p>
    <w:p>
      <w:r>
        <w:t>Date: November 22, 2025</w:t>
      </w:r>
    </w:p>
    <w:p>
      <w:r>
        <w:t>Location: Hybrid — San Francisco HQ / Teams</w:t>
      </w:r>
    </w:p>
    <w:p>
      <w:pPr>
        <w:pStyle w:val="ListBullet"/>
      </w:pPr>
      <w:r>
        <w:t>Attendees:</w:t>
        <w:br/>
      </w:r>
      <w:r>
        <w:t>- Mira Patel — CEO</w:t>
        <w:br/>
      </w:r>
      <w:r>
        <w:t>- Jonah Reeves — CFO</w:t>
        <w:br/>
      </w:r>
      <w:r>
        <w:t>- Lena Ortiz — COO</w:t>
        <w:br/>
      </w:r>
      <w:r>
        <w:t>- Divya Shaw — CPO</w:t>
        <w:br/>
      </w:r>
    </w:p>
    <w:p>
      <w:pPr>
        <w:pStyle w:val="Heading2"/>
      </w:pPr>
      <w:r>
        <w:t>Agenda Highlights</w:t>
      </w:r>
    </w:p>
    <w:p>
      <w:r>
        <w:t>1. FY26 Revenue Guidance</w:t>
      </w:r>
    </w:p>
    <w:p>
      <w:r>
        <w:t>2. Expansion of AI Trust Program</w:t>
      </w:r>
    </w:p>
    <w:p>
      <w:r>
        <w:t>3. M&amp;A pipeline review (confidential)</w:t>
      </w:r>
    </w:p>
    <w:p>
      <w:pPr>
        <w:pStyle w:val="Heading2"/>
      </w:pPr>
      <w:r>
        <w:t>Key Decisions</w:t>
      </w:r>
    </w:p>
    <w:p>
      <w:r>
        <w:t>• Approved $18M investment toward responsible AI tooling, with staged release tied to regulatory milestones.</w:t>
      </w:r>
    </w:p>
    <w:p>
      <w:r>
        <w:t>• Directed corporate development to pause Proceed Labs acquisition pending competitive diligence.</w:t>
      </w:r>
    </w:p>
    <w:p>
      <w:pPr>
        <w:pStyle w:val="Heading2"/>
      </w:pPr>
      <w: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Refresh sensitivity analyses for macro scenarios</w:t>
            </w:r>
          </w:p>
        </w:tc>
        <w:tc>
          <w:tcPr>
            <w:tcW w:type="dxa" w:w="2880"/>
          </w:tcPr>
          <w:p>
            <w:r>
              <w:t>Dec 15</w:t>
            </w:r>
          </w:p>
        </w:tc>
      </w:tr>
      <w:tr>
        <w:tc>
          <w:tcPr>
            <w:tcW w:type="dxa" w:w="2880"/>
          </w:tcPr>
          <w:p>
            <w:r>
              <w:t>People Ops</w:t>
            </w:r>
          </w:p>
        </w:tc>
        <w:tc>
          <w:tcPr>
            <w:tcW w:type="dxa" w:w="2880"/>
          </w:tcPr>
          <w:p>
            <w:r>
              <w:t>Share revised leveling guide for applied research roles</w:t>
            </w:r>
          </w:p>
        </w:tc>
        <w:tc>
          <w:tcPr>
            <w:tcW w:type="dxa" w:w="2880"/>
          </w:tcPr>
          <w:p>
            <w:r>
              <w:t>Nov 30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Draft response memo to EU AI Act consultation</w:t>
            </w:r>
          </w:p>
        </w:tc>
        <w:tc>
          <w:tcPr>
            <w:tcW w:type="dxa" w:w="2880"/>
          </w:tcPr>
          <w:p>
            <w:r>
              <w:t>Jan 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