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BCAE" w14:textId="0258052A" w:rsidR="00216B63" w:rsidRPr="005E58F9" w:rsidRDefault="00216B63" w:rsidP="00555F14">
      <w:pPr>
        <w:spacing w:line="480" w:lineRule="auto"/>
        <w:jc w:val="center"/>
        <w:rPr>
          <w:b/>
        </w:rPr>
      </w:pPr>
      <w:r w:rsidRPr="005E58F9">
        <w:rPr>
          <w:b/>
        </w:rPr>
        <w:t xml:space="preserve">Spiritual Freedom and economic </w:t>
      </w:r>
      <w:r w:rsidR="00456084" w:rsidRPr="005E58F9">
        <w:rPr>
          <w:b/>
        </w:rPr>
        <w:t>prosperity:</w:t>
      </w:r>
      <w:r w:rsidR="00195DE1" w:rsidRPr="005E58F9">
        <w:rPr>
          <w:b/>
        </w:rPr>
        <w:t xml:space="preserve"> approach from Pope Francis.</w:t>
      </w:r>
    </w:p>
    <w:p w14:paraId="0BEF0638" w14:textId="1295C104" w:rsidR="00216B63" w:rsidRPr="005E58F9" w:rsidRDefault="00216B63" w:rsidP="000C1BBC">
      <w:pPr>
        <w:spacing w:line="480" w:lineRule="auto"/>
        <w:jc w:val="center"/>
      </w:pPr>
      <w:r w:rsidRPr="005E58F9">
        <w:t xml:space="preserve">Frederic BOMBA </w:t>
      </w:r>
    </w:p>
    <w:p w14:paraId="3458B384" w14:textId="77777777" w:rsidR="0047667D" w:rsidRDefault="0047667D" w:rsidP="000C1BBC">
      <w:pPr>
        <w:spacing w:line="480" w:lineRule="auto"/>
        <w:jc w:val="center"/>
      </w:pPr>
    </w:p>
    <w:p w14:paraId="3B33296B" w14:textId="1F9BBAC4" w:rsidR="000608DE" w:rsidRPr="0047667D" w:rsidRDefault="000608DE" w:rsidP="000C1BBC">
      <w:pPr>
        <w:spacing w:line="480" w:lineRule="auto"/>
        <w:jc w:val="center"/>
        <w:rPr>
          <w:b/>
        </w:rPr>
      </w:pPr>
      <w:r w:rsidRPr="0047667D">
        <w:rPr>
          <w:b/>
        </w:rPr>
        <w:t>Abstract</w:t>
      </w:r>
    </w:p>
    <w:p w14:paraId="0C63A97B" w14:textId="5936753A" w:rsidR="00C31193" w:rsidRPr="005E58F9" w:rsidRDefault="00C31193" w:rsidP="000C1BBC">
      <w:pPr>
        <w:spacing w:line="480" w:lineRule="auto"/>
        <w:jc w:val="both"/>
      </w:pPr>
      <w:r w:rsidRPr="005E58F9">
        <w:t xml:space="preserve">This paper investigates the relationship between </w:t>
      </w:r>
      <w:r w:rsidR="000608DE">
        <w:t xml:space="preserve">spiritual freedom and economic prosperity using the Pope Francis spiritual freedom’s definition, with a focus on the role of education, religious freedom and gender equity. By analyzing cross-sectional data from 74 countries in 2023, the study investigates how these factors influence the GDP per capita. The empirical results show that spiritual </w:t>
      </w:r>
      <w:r w:rsidR="0047667D">
        <w:t>freedom,</w:t>
      </w:r>
      <w:r w:rsidR="000608DE">
        <w:t xml:space="preserve"> particularly through education</w:t>
      </w:r>
      <w:r w:rsidR="0047667D">
        <w:t xml:space="preserve"> (measured by the </w:t>
      </w:r>
      <w:r w:rsidR="00634C50">
        <w:t>Adult Literacy Rate (ED)</w:t>
      </w:r>
      <w:r w:rsidR="0047667D">
        <w:t>)</w:t>
      </w:r>
      <w:r w:rsidR="000608DE">
        <w:t xml:space="preserve"> has a </w:t>
      </w:r>
      <w:r w:rsidR="0046724F">
        <w:t>significant</w:t>
      </w:r>
      <w:r w:rsidR="000608DE">
        <w:t xml:space="preserve"> impact on economic prosperity</w:t>
      </w:r>
      <w:r w:rsidR="0047667D">
        <w:t xml:space="preserve"> but government restrictions on religion and gender equity (measured </w:t>
      </w:r>
      <w:r w:rsidR="00C253AE">
        <w:t xml:space="preserve">by </w:t>
      </w:r>
      <w:r w:rsidR="0047667D">
        <w:t xml:space="preserve">the </w:t>
      </w:r>
      <w:r w:rsidR="00634C50">
        <w:t>Health and Survival Index (GE)</w:t>
      </w:r>
      <w:r w:rsidR="0047667D">
        <w:t xml:space="preserve">) tend to negatively affect economic growth. The paper also reveals regional differences, with some effects in European and American countries. The conclusion is the finding of the role of spiritual freedom in economic prosperity, particularly in regions with higher </w:t>
      </w:r>
      <w:r w:rsidR="00634C50">
        <w:t>Adult Literacy Rate (ED)</w:t>
      </w:r>
      <w:r w:rsidR="0047667D">
        <w:t>s.</w:t>
      </w:r>
    </w:p>
    <w:p w14:paraId="4FE25158" w14:textId="1A897BD2" w:rsidR="00CA2687" w:rsidRDefault="00C31193" w:rsidP="000C1BBC">
      <w:pPr>
        <w:spacing w:line="480" w:lineRule="auto"/>
        <w:jc w:val="both"/>
      </w:pPr>
      <w:r w:rsidRPr="0047667D">
        <w:rPr>
          <w:b/>
        </w:rPr>
        <w:t>Keywords</w:t>
      </w:r>
      <w:r w:rsidRPr="005E58F9">
        <w:t>:</w:t>
      </w:r>
      <w:r w:rsidR="001E0CB8" w:rsidRPr="005E58F9">
        <w:t xml:space="preserve"> </w:t>
      </w:r>
      <w:r w:rsidR="00572CF2" w:rsidRPr="005E58F9">
        <w:t>Spiritual freedom,</w:t>
      </w:r>
      <w:r w:rsidR="009206F5" w:rsidRPr="005E58F9">
        <w:t xml:space="preserve"> religious freedom,</w:t>
      </w:r>
      <w:r w:rsidR="00572CF2" w:rsidRPr="005E58F9">
        <w:t xml:space="preserve"> education, gender equity, economic prosperity</w:t>
      </w:r>
      <w:r w:rsidR="001E0CB8" w:rsidRPr="005E58F9">
        <w:t>.</w:t>
      </w:r>
    </w:p>
    <w:p w14:paraId="28522AD0" w14:textId="77777777" w:rsidR="0047667D" w:rsidRPr="005E58F9" w:rsidRDefault="0047667D" w:rsidP="000C1BBC">
      <w:pPr>
        <w:spacing w:line="480" w:lineRule="auto"/>
        <w:jc w:val="both"/>
      </w:pPr>
    </w:p>
    <w:p w14:paraId="54DD7830" w14:textId="05ADEDED" w:rsidR="00F41204" w:rsidRPr="0047667D" w:rsidRDefault="0001361E" w:rsidP="000C1BBC">
      <w:pPr>
        <w:spacing w:line="480" w:lineRule="auto"/>
        <w:jc w:val="center"/>
        <w:rPr>
          <w:b/>
        </w:rPr>
      </w:pPr>
      <w:r w:rsidRPr="0047667D">
        <w:rPr>
          <w:b/>
        </w:rPr>
        <w:t>Introduction</w:t>
      </w:r>
    </w:p>
    <w:p w14:paraId="1A81BE2B" w14:textId="2F6FF35F" w:rsidR="00F41204" w:rsidRPr="005E58F9" w:rsidRDefault="00F41204" w:rsidP="000C1BBC">
      <w:pPr>
        <w:spacing w:line="480" w:lineRule="auto"/>
        <w:ind w:firstLine="720"/>
        <w:jc w:val="both"/>
      </w:pPr>
      <w:r w:rsidRPr="005E58F9">
        <w:t xml:space="preserve">The determinants of economic prosperity have long been searched by many scholars. For </w:t>
      </w:r>
      <w:r w:rsidR="00FB6593" w:rsidRPr="005E58F9">
        <w:t xml:space="preserve">neoclassical </w:t>
      </w:r>
      <w:r w:rsidRPr="005E58F9">
        <w:t>economi</w:t>
      </w:r>
      <w:r w:rsidR="00FB6593" w:rsidRPr="005E58F9">
        <w:t>cs</w:t>
      </w:r>
      <w:r w:rsidRPr="005E58F9">
        <w:t>, the main factors of economic growth</w:t>
      </w:r>
      <w:r w:rsidR="008811CB" w:rsidRPr="005E58F9">
        <w:t xml:space="preserve"> and prosperity</w:t>
      </w:r>
      <w:r w:rsidRPr="005E58F9">
        <w:t xml:space="preserve"> </w:t>
      </w:r>
      <w:r w:rsidR="00FB6593" w:rsidRPr="005E58F9">
        <w:t>are</w:t>
      </w:r>
      <w:r w:rsidRPr="005E58F9">
        <w:t xml:space="preserve"> physical </w:t>
      </w:r>
      <w:r w:rsidR="009849EB" w:rsidRPr="005E58F9">
        <w:t>capital and</w:t>
      </w:r>
      <w:r w:rsidRPr="005E58F9">
        <w:t xml:space="preserve"> financial capital</w:t>
      </w:r>
      <w:r w:rsidR="00FB6593" w:rsidRPr="005E58F9">
        <w:t xml:space="preserve">. According to the endogenous growth theory, </w:t>
      </w:r>
      <w:r w:rsidRPr="005E58F9">
        <w:t xml:space="preserve">human capital and other </w:t>
      </w:r>
      <w:r w:rsidR="00FB6593" w:rsidRPr="005E58F9">
        <w:t>elements</w:t>
      </w:r>
      <w:r w:rsidRPr="005E58F9">
        <w:t xml:space="preserve"> such as technological innovation are </w:t>
      </w:r>
      <w:r w:rsidR="008811CB" w:rsidRPr="005E58F9">
        <w:t>key drivers</w:t>
      </w:r>
      <w:r w:rsidRPr="005E58F9">
        <w:t xml:space="preserve"> concerned. While many scholars are interested in tangible elements such as the latter, </w:t>
      </w:r>
      <w:r w:rsidR="009849EB" w:rsidRPr="005E58F9">
        <w:t>others</w:t>
      </w:r>
      <w:r w:rsidRPr="005E58F9">
        <w:t xml:space="preserve"> </w:t>
      </w:r>
      <w:r w:rsidR="00FB6593" w:rsidRPr="005E58F9">
        <w:t>think that</w:t>
      </w:r>
      <w:r w:rsidRPr="005E58F9">
        <w:t xml:space="preserve"> intangible </w:t>
      </w:r>
      <w:r w:rsidR="00653917" w:rsidRPr="005E58F9">
        <w:t>factors</w:t>
      </w:r>
      <w:r w:rsidRPr="005E58F9">
        <w:t xml:space="preserve"> such as spiritual</w:t>
      </w:r>
      <w:r w:rsidR="00FB6593" w:rsidRPr="005E58F9">
        <w:t xml:space="preserve"> freedom or</w:t>
      </w:r>
      <w:r w:rsidRPr="005E58F9">
        <w:t xml:space="preserve"> ethics </w:t>
      </w:r>
      <w:r w:rsidR="00FB6593" w:rsidRPr="005E58F9">
        <w:t xml:space="preserve">are also </w:t>
      </w:r>
      <w:r w:rsidRPr="005E58F9">
        <w:t>relevant drivers of economic prosperity.</w:t>
      </w:r>
      <w:r w:rsidR="00FB6593" w:rsidRPr="005E58F9">
        <w:t xml:space="preserve"> </w:t>
      </w:r>
      <w:r w:rsidR="00C156E0" w:rsidRPr="005E58F9">
        <w:t xml:space="preserve">Therefore, one can ask </w:t>
      </w:r>
      <w:r w:rsidR="006C1191" w:rsidRPr="005E58F9">
        <w:rPr>
          <w:b/>
          <w:i/>
          <w:iCs/>
        </w:rPr>
        <w:lastRenderedPageBreak/>
        <w:t>whether spiritual freedom can lead to economic prosperity</w:t>
      </w:r>
      <w:r w:rsidR="006C1191" w:rsidRPr="005E58F9">
        <w:t xml:space="preserve">. </w:t>
      </w:r>
      <w:r w:rsidR="00FB6593" w:rsidRPr="005E58F9">
        <w:t xml:space="preserve">But what is spiritual freedom? </w:t>
      </w:r>
      <w:r w:rsidR="009849EB" w:rsidRPr="005E58F9">
        <w:t>Pope Francis</w:t>
      </w:r>
      <w:r w:rsidR="00FA0327" w:rsidRPr="005E58F9">
        <w:t xml:space="preserve"> (2015)</w:t>
      </w:r>
      <w:r w:rsidR="009849EB" w:rsidRPr="005E58F9">
        <w:t xml:space="preserve"> sees education, religious freedom, and other civil rights, such as gender equity, as essential for spiritual freedom</w:t>
      </w:r>
      <w:r w:rsidR="009849EB" w:rsidRPr="005E58F9">
        <w:rPr>
          <w:rStyle w:val="FootnoteReference"/>
        </w:rPr>
        <w:footnoteReference w:id="1"/>
      </w:r>
      <w:r w:rsidR="009849EB" w:rsidRPr="005E58F9">
        <w:t xml:space="preserve">. As an element of social capital, spiritual freedom can contribute to economic prosperity through well-being, creativity and then </w:t>
      </w:r>
      <w:r w:rsidR="006C1191" w:rsidRPr="005E58F9">
        <w:t xml:space="preserve">personal fulfillment, </w:t>
      </w:r>
      <w:r w:rsidR="009849EB" w:rsidRPr="005E58F9">
        <w:t>productivity and innovation. Moreover, spiritual freedom promotes inclusivity and then diversified economic interlinkages can lead to prosperity.</w:t>
      </w:r>
    </w:p>
    <w:p w14:paraId="1DB88672" w14:textId="208D0EAA" w:rsidR="00653917" w:rsidRDefault="00FA0327" w:rsidP="000C1BBC">
      <w:pPr>
        <w:spacing w:line="480" w:lineRule="auto"/>
        <w:jc w:val="both"/>
      </w:pPr>
      <w:r w:rsidRPr="005E58F9">
        <w:t>This paper aims to empirically examine how spiritual freedom can lead to economic prosperity</w:t>
      </w:r>
      <w:r w:rsidR="000C0CFB">
        <w:t>,</w:t>
      </w:r>
      <w:r w:rsidRPr="005E58F9">
        <w:t xml:space="preserve"> by borrowing the Pope’s concept of spiritual freedom through education, religious freedom and gender equity. To do so, the study conducts analysis through the relationships between GDP</w:t>
      </w:r>
      <w:r w:rsidR="00B800B0">
        <w:t xml:space="preserve"> </w:t>
      </w:r>
      <w:r w:rsidRPr="005E58F9">
        <w:t xml:space="preserve">per capita and </w:t>
      </w:r>
      <w:r w:rsidR="001953B1">
        <w:t>Health and Survival</w:t>
      </w:r>
      <w:r w:rsidRPr="005E58F9">
        <w:t xml:space="preserve"> </w:t>
      </w:r>
      <w:r w:rsidR="001953B1">
        <w:t>I</w:t>
      </w:r>
      <w:r w:rsidRPr="005E58F9">
        <w:t>ndex</w:t>
      </w:r>
      <w:r w:rsidR="001953B1">
        <w:t xml:space="preserve"> (GE)</w:t>
      </w:r>
      <w:r w:rsidRPr="005E58F9">
        <w:t xml:space="preserve">, </w:t>
      </w:r>
      <w:r w:rsidR="001953B1">
        <w:t>Adult Literacy Rate (ED)</w:t>
      </w:r>
      <w:r w:rsidRPr="005E58F9">
        <w:t xml:space="preserve">, and </w:t>
      </w:r>
      <w:r w:rsidR="00634C50">
        <w:t>Government Restriction Index (RE)</w:t>
      </w:r>
      <w:r w:rsidR="001953B1">
        <w:t xml:space="preserve"> </w:t>
      </w:r>
      <w:r w:rsidR="00C156E0" w:rsidRPr="005E58F9">
        <w:t>in 2023</w:t>
      </w:r>
      <w:r w:rsidRPr="005E58F9">
        <w:t xml:space="preserve">. </w:t>
      </w:r>
      <w:r w:rsidR="00653917" w:rsidRPr="005E58F9">
        <w:t>In doing so,</w:t>
      </w:r>
      <w:r w:rsidRPr="005E58F9">
        <w:t xml:space="preserve"> </w:t>
      </w:r>
      <w:r w:rsidR="00653917" w:rsidRPr="005E58F9">
        <w:t>t</w:t>
      </w:r>
      <w:r w:rsidRPr="005E58F9">
        <w:t xml:space="preserve">his paper contributes to the </w:t>
      </w:r>
      <w:r w:rsidR="00653917" w:rsidRPr="005E58F9">
        <w:t>literature</w:t>
      </w:r>
      <w:r w:rsidRPr="005E58F9">
        <w:t xml:space="preserve"> in </w:t>
      </w:r>
      <w:r w:rsidR="00653917" w:rsidRPr="005E58F9">
        <w:t xml:space="preserve">intangible means and economic prosperity. This paper is organized as follows. Section </w:t>
      </w:r>
      <w:r w:rsidR="002D0FC9" w:rsidRPr="005E58F9">
        <w:t>I</w:t>
      </w:r>
      <w:r w:rsidR="00653917" w:rsidRPr="005E58F9">
        <w:t xml:space="preserve"> provides a literature review</w:t>
      </w:r>
      <w:r w:rsidR="00A92F8D" w:rsidRPr="005E58F9">
        <w:t xml:space="preserve"> and</w:t>
      </w:r>
      <w:r w:rsidR="00330847" w:rsidRPr="005E58F9">
        <w:t xml:space="preserve"> </w:t>
      </w:r>
      <w:r w:rsidR="00A92F8D" w:rsidRPr="005E58F9">
        <w:t xml:space="preserve">presents testable hypotheses. In section II, </w:t>
      </w:r>
      <w:r w:rsidR="00330847" w:rsidRPr="005E58F9">
        <w:t>spiritual freedom</w:t>
      </w:r>
      <w:r w:rsidR="00A92F8D" w:rsidRPr="005E58F9">
        <w:t xml:space="preserve"> is decomposed into different dimensions and each one is explained. </w:t>
      </w:r>
      <w:r w:rsidR="00653917" w:rsidRPr="005E58F9">
        <w:t xml:space="preserve">In section </w:t>
      </w:r>
      <w:r w:rsidR="00A92F8D" w:rsidRPr="005E58F9">
        <w:t>I</w:t>
      </w:r>
      <w:r w:rsidR="00653917" w:rsidRPr="005E58F9">
        <w:t>I</w:t>
      </w:r>
      <w:r w:rsidR="00EF384C" w:rsidRPr="005E58F9">
        <w:t>I</w:t>
      </w:r>
      <w:r w:rsidR="00653917" w:rsidRPr="005E58F9">
        <w:t xml:space="preserve">, the hypotheses are tested across </w:t>
      </w:r>
      <w:r w:rsidR="00EF384C" w:rsidRPr="005E58F9">
        <w:t>economies</w:t>
      </w:r>
      <w:r w:rsidR="00653917" w:rsidRPr="005E58F9">
        <w:t xml:space="preserve">, followed by </w:t>
      </w:r>
      <w:r w:rsidR="00B800B0" w:rsidRPr="005E58F9">
        <w:t>analysis</w:t>
      </w:r>
      <w:r w:rsidR="00653917" w:rsidRPr="005E58F9">
        <w:t xml:space="preserve"> </w:t>
      </w:r>
      <w:r w:rsidR="00B800B0">
        <w:t xml:space="preserve">and discussion </w:t>
      </w:r>
      <w:r w:rsidR="00653917" w:rsidRPr="005E58F9">
        <w:t xml:space="preserve">at the </w:t>
      </w:r>
      <w:r w:rsidR="00B800B0">
        <w:t>regional</w:t>
      </w:r>
      <w:r w:rsidR="00653917" w:rsidRPr="005E58F9">
        <w:t xml:space="preserve"> level. </w:t>
      </w:r>
      <w:r w:rsidR="00EF384C" w:rsidRPr="005E58F9">
        <w:t>Then, we recapture</w:t>
      </w:r>
      <w:r w:rsidR="00653917" w:rsidRPr="005E58F9">
        <w:t xml:space="preserve"> the main findings and conclude the paper.</w:t>
      </w:r>
    </w:p>
    <w:p w14:paraId="3C9ACF97" w14:textId="77777777" w:rsidR="001953B1" w:rsidRPr="005E58F9" w:rsidRDefault="001953B1" w:rsidP="000C1BBC">
      <w:pPr>
        <w:spacing w:line="480" w:lineRule="auto"/>
        <w:jc w:val="both"/>
      </w:pPr>
    </w:p>
    <w:p w14:paraId="069F468B" w14:textId="6D15D360" w:rsidR="00A92F8D" w:rsidRPr="0047667D" w:rsidRDefault="00A92F8D" w:rsidP="000C1BBC">
      <w:pPr>
        <w:pStyle w:val="ListParagraph"/>
        <w:numPr>
          <w:ilvl w:val="0"/>
          <w:numId w:val="5"/>
        </w:numPr>
        <w:spacing w:line="480" w:lineRule="auto"/>
        <w:jc w:val="both"/>
        <w:rPr>
          <w:b/>
        </w:rPr>
      </w:pPr>
      <w:r w:rsidRPr="0047667D">
        <w:rPr>
          <w:b/>
        </w:rPr>
        <w:t>Literature review and articulation of hypotheses</w:t>
      </w:r>
    </w:p>
    <w:p w14:paraId="761CD14F" w14:textId="1A1AB87D" w:rsidR="001E0CB8" w:rsidRPr="005E58F9" w:rsidRDefault="001E0CB8" w:rsidP="000C1BBC">
      <w:pPr>
        <w:spacing w:line="480" w:lineRule="auto"/>
        <w:ind w:firstLine="720"/>
        <w:jc w:val="both"/>
      </w:pPr>
      <w:r w:rsidRPr="005E58F9">
        <w:t>Throughout history, people have always been persecuted, for their ethnic origin or race, their beliefs or other reasons. In fact, there is no group in the world that does not suffer to some degree because of its beliefs</w:t>
      </w:r>
      <w:r w:rsidRPr="005E58F9">
        <w:rPr>
          <w:rStyle w:val="FootnoteReference"/>
        </w:rPr>
        <w:footnoteReference w:id="2"/>
      </w:r>
      <w:r w:rsidRPr="005E58F9">
        <w:t xml:space="preserve">. Freedom is the condition in which we “live our lives as we choose </w:t>
      </w:r>
      <w:r w:rsidRPr="005E58F9">
        <w:lastRenderedPageBreak/>
        <w:t>so long as we respect the equal rights of others”</w:t>
      </w:r>
      <w:r w:rsidRPr="005E58F9">
        <w:rPr>
          <w:rStyle w:val="FootnoteReference"/>
        </w:rPr>
        <w:footnoteReference w:id="3"/>
      </w:r>
      <w:r w:rsidRPr="005E58F9">
        <w:t xml:space="preserve">  and have no coercion. According to John F. Early (2023)</w:t>
      </w:r>
      <w:r w:rsidRPr="005E58F9">
        <w:rPr>
          <w:rStyle w:val="FootnoteReference"/>
        </w:rPr>
        <w:footnoteReference w:id="4"/>
      </w:r>
      <w:r w:rsidRPr="005E58F9">
        <w:t xml:space="preserve"> freedom has frequently been associated with economic prosperity. But</w:t>
      </w:r>
      <w:r w:rsidR="001953B1">
        <w:t>,</w:t>
      </w:r>
      <w:r w:rsidRPr="005E58F9">
        <w:t xml:space="preserve"> is spiritual freedom concerned? A comparison of ratings for religious freedom with freedom house’s ratings for political rights and civil liberties allow us to see how the degree of religious freedom in a country correlates with its record of human rights in general. We can thus think that spiritual freedom and other freedoms will usually go together.</w:t>
      </w:r>
    </w:p>
    <w:p w14:paraId="074C954D" w14:textId="16013834" w:rsidR="00C57C0B" w:rsidRPr="005E58F9" w:rsidRDefault="00C57C0B" w:rsidP="000C1BBC">
      <w:pPr>
        <w:spacing w:line="480" w:lineRule="auto"/>
        <w:ind w:firstLine="720"/>
        <w:jc w:val="both"/>
      </w:pPr>
      <w:r w:rsidRPr="005E58F9">
        <w:t>Spirituality can significantly contribute to the development of nations... For instance, Robert Woodberry (2012)</w:t>
      </w:r>
      <w:r w:rsidRPr="005E58F9">
        <w:rPr>
          <w:rStyle w:val="FootnoteReference"/>
        </w:rPr>
        <w:footnoteReference w:id="5"/>
      </w:r>
      <w:r w:rsidRPr="005E58F9">
        <w:t xml:space="preserve"> found that the presence of proselytizing Protestant faiths, was associated with economic development throughout the world. Other faith-based associations have increased education through the establishment of seminaries, have disseminated books, and founded hospitals and schools for women, improving gender equity.</w:t>
      </w:r>
      <w:r w:rsidRPr="005E58F9">
        <w:rPr>
          <w:b/>
        </w:rPr>
        <w:t xml:space="preserve"> </w:t>
      </w:r>
      <w:r w:rsidRPr="005E58F9">
        <w:t>Contributions of this type are not just a legacy from the past. Katherine Marshall, former director of the Development Dialogue on Values and Ethics at the World Bank, recognized that present-day faith communities not only provide education and health services, but also provide social safety nets for orphans, disabled people, and people who fall behind (Pew Forum 2006)</w:t>
      </w:r>
      <w:r w:rsidRPr="005E58F9">
        <w:rPr>
          <w:rStyle w:val="FootnoteReference"/>
        </w:rPr>
        <w:footnoteReference w:id="6"/>
      </w:r>
      <w:r w:rsidRPr="005E58F9">
        <w:t>.</w:t>
      </w:r>
      <w:r w:rsidRPr="005E58F9">
        <w:rPr>
          <w:b/>
        </w:rPr>
        <w:t xml:space="preserve"> </w:t>
      </w:r>
      <w:r w:rsidRPr="005E58F9">
        <w:t>Gill A, Owen JMIV (2017)</w:t>
      </w:r>
      <w:r w:rsidRPr="005E58F9">
        <w:rPr>
          <w:rStyle w:val="FootnoteReference"/>
        </w:rPr>
        <w:footnoteReference w:id="7"/>
      </w:r>
      <w:r w:rsidRPr="005E58F9">
        <w:t xml:space="preserve"> found four important roles for spiritual freedom: it promotes diversity, security, and Prosperity, it attracts entrepreneurs who foster economic growth, it fosters a commercial society and tends to spread to neighboring countries. Moreover, authors of the report </w:t>
      </w:r>
      <w:r w:rsidRPr="005E58F9">
        <w:rPr>
          <w:i/>
          <w:iCs/>
          <w:u w:val="single"/>
        </w:rPr>
        <w:t>Religious Liberty &amp; Economic Prosperity: Keys to America’s Future</w:t>
      </w:r>
      <w:r w:rsidRPr="005E58F9">
        <w:t xml:space="preserve"> argue that “spiritual freedom promotes and preserves religious pluralism </w:t>
      </w:r>
      <w:r w:rsidRPr="005E58F9">
        <w:lastRenderedPageBreak/>
        <w:t>in a country, which is strongly linked to a sustained culture of innovation… fosters certain types of religious competition that have substantial benefits for education, literacy, civil society, and democratization’’. In fact, there is “substantial evidence of the positive role religious communities and faith-based organizations play in promoting sustainable development goals.” In other words, where spiritual liberty flourishes, we see evidence of stronger economies. In a recent study done by researchers at Georgetown University and Brigham Young University, freedom of belief is one of three factors significantly associated with global economic growth. The study looked at the GDP growth of 173 countries in 2011 and controlled two-dozen different financial, social and regulatory influences</w:t>
      </w:r>
      <w:r w:rsidRPr="005E58F9">
        <w:rPr>
          <w:rStyle w:val="FootnoteReference"/>
        </w:rPr>
        <w:footnoteReference w:id="8"/>
      </w:r>
      <w:r w:rsidRPr="005E58F9">
        <w:t>.</w:t>
      </w:r>
    </w:p>
    <w:p w14:paraId="4A96B8BD" w14:textId="3EA76246" w:rsidR="001E0CB8" w:rsidRPr="005E58F9" w:rsidRDefault="001E0CB8" w:rsidP="000C1BBC">
      <w:pPr>
        <w:spacing w:line="480" w:lineRule="auto"/>
        <w:ind w:firstLine="720"/>
        <w:jc w:val="both"/>
      </w:pPr>
      <w:r w:rsidRPr="005E58F9">
        <w:t>According to Fox. J (2001)</w:t>
      </w:r>
      <w:r w:rsidRPr="005E58F9">
        <w:rPr>
          <w:rStyle w:val="FootnoteReference"/>
        </w:rPr>
        <w:footnoteReference w:id="9"/>
      </w:r>
      <w:r w:rsidRPr="005E58F9">
        <w:t xml:space="preserve"> Religious freedom is important because it is posited to be a central element of liberal democracy and as having multiple additional benefits including increased security and economic prosperity. Yet, it is also a disputed concept, and many liberal democracies restrict the freedoms of religious minorities. A recent literature argues that spiritual freedom has economic benefits. Many argue that supporting religious freedom also promotes economic </w:t>
      </w:r>
      <w:r w:rsidR="00C156E0" w:rsidRPr="005E58F9">
        <w:t>prosperity (Gill, 2008</w:t>
      </w:r>
      <w:r w:rsidRPr="005E58F9">
        <w:rPr>
          <w:rStyle w:val="FootnoteReference"/>
        </w:rPr>
        <w:footnoteReference w:id="10"/>
      </w:r>
      <w:r w:rsidRPr="005E58F9">
        <w:t xml:space="preserve">). This author links religious and spiritual freedom and economic prosperity. It increases people’s interactions across religions which reduces cultural barriers to trade and increases economic activity. </w:t>
      </w:r>
    </w:p>
    <w:p w14:paraId="62162E28" w14:textId="71C4BFA6" w:rsidR="00D91194" w:rsidRPr="005E58F9" w:rsidRDefault="00D91194" w:rsidP="000C1BBC">
      <w:pPr>
        <w:spacing w:line="480" w:lineRule="auto"/>
        <w:ind w:firstLine="720"/>
        <w:jc w:val="both"/>
      </w:pPr>
      <w:r w:rsidRPr="005E58F9">
        <w:t>When it comes to education, it is a leading determinant of economic growth</w:t>
      </w:r>
      <w:r w:rsidR="0022785A" w:rsidRPr="005E58F9">
        <w:t xml:space="preserve"> even though understanding its influence is not a direct point. According to Woessman (2015), i</w:t>
      </w:r>
      <w:r w:rsidRPr="005E58F9">
        <w:t xml:space="preserve">gnoring the economic dimension of education would endanger the prosperity of future generations, with </w:t>
      </w:r>
      <w:r w:rsidRPr="005E58F9">
        <w:lastRenderedPageBreak/>
        <w:t>widespread repercussions for poverty, social exclusion, and sustainability of social</w:t>
      </w:r>
      <w:r w:rsidR="0022785A" w:rsidRPr="005E58F9">
        <w:t xml:space="preserve">. A considerable amount of evidence on the positive economic effects of </w:t>
      </w:r>
      <w:r w:rsidR="00C57C0B" w:rsidRPr="005E58F9">
        <w:t>completed</w:t>
      </w:r>
      <w:r w:rsidR="0022785A" w:rsidRPr="005E58F9">
        <w:t xml:space="preserve"> primary education, secondary education</w:t>
      </w:r>
      <w:r w:rsidR="0022785A" w:rsidRPr="005E58F9">
        <w:rPr>
          <w:rStyle w:val="FootnoteReference"/>
        </w:rPr>
        <w:footnoteReference w:id="11"/>
      </w:r>
      <w:r w:rsidR="0022785A" w:rsidRPr="005E58F9">
        <w:t xml:space="preserve"> and tertiary education</w:t>
      </w:r>
      <w:r w:rsidR="0022785A" w:rsidRPr="005E58F9">
        <w:rPr>
          <w:rStyle w:val="FootnoteReference"/>
        </w:rPr>
        <w:footnoteReference w:id="12"/>
      </w:r>
      <w:r w:rsidR="0022785A" w:rsidRPr="005E58F9">
        <w:t xml:space="preserve"> has been generated over the past 40 years (UNESCO 2010)</w:t>
      </w:r>
      <w:r w:rsidR="00C57C0B" w:rsidRPr="005E58F9">
        <w:rPr>
          <w:rStyle w:val="FootnoteReference"/>
        </w:rPr>
        <w:footnoteReference w:id="13"/>
      </w:r>
      <w:r w:rsidR="0022785A" w:rsidRPr="005E58F9">
        <w:t xml:space="preserve">.  </w:t>
      </w:r>
    </w:p>
    <w:p w14:paraId="15055D95" w14:textId="23140150" w:rsidR="00D91194" w:rsidRPr="005E58F9" w:rsidRDefault="002843FF" w:rsidP="000C1BBC">
      <w:pPr>
        <w:spacing w:line="480" w:lineRule="auto"/>
        <w:ind w:firstLine="720"/>
        <w:jc w:val="both"/>
      </w:pPr>
      <w:r w:rsidRPr="005E58F9">
        <w:t>Concerning gender equity</w:t>
      </w:r>
      <w:r w:rsidR="00CD2FC9" w:rsidRPr="005E58F9">
        <w:t>,</w:t>
      </w:r>
      <w:r w:rsidR="00457786" w:rsidRPr="005E58F9">
        <w:t xml:space="preserve"> </w:t>
      </w:r>
      <w:r w:rsidR="00CD2FC9" w:rsidRPr="005E58F9">
        <w:t xml:space="preserve">Fluchtmann, J., W. Adema and M. Keese (eds.) (2024) show that </w:t>
      </w:r>
      <w:r w:rsidR="00457786" w:rsidRPr="005E58F9">
        <w:t xml:space="preserve">closing gender gaps in </w:t>
      </w:r>
      <w:r w:rsidR="00CD2FC9" w:rsidRPr="005E58F9">
        <w:t>labor</w:t>
      </w:r>
      <w:r w:rsidR="00457786" w:rsidRPr="005E58F9">
        <w:t xml:space="preserve"> force participation and working hours can have substantial effects on output growth. Consequently, countries with larger baseline gender gaps stand to benefit more from closing these gaps, while those with smaller gaps would see more limited effects</w:t>
      </w:r>
      <w:r w:rsidR="00457786" w:rsidRPr="005E58F9">
        <w:rPr>
          <w:rStyle w:val="FootnoteReference"/>
        </w:rPr>
        <w:footnoteReference w:id="14"/>
      </w:r>
      <w:r w:rsidR="00457786" w:rsidRPr="005E58F9">
        <w:t xml:space="preserve">. </w:t>
      </w:r>
    </w:p>
    <w:p w14:paraId="000B8BFE" w14:textId="4F151A0E" w:rsidR="001E0CB8" w:rsidRPr="005E58F9" w:rsidRDefault="001E0CB8" w:rsidP="000C1BBC">
      <w:pPr>
        <w:spacing w:line="480" w:lineRule="auto"/>
        <w:jc w:val="both"/>
      </w:pPr>
      <w:r w:rsidRPr="005E58F9">
        <w:t xml:space="preserve">In explaining the role of </w:t>
      </w:r>
      <w:r w:rsidR="00CD2FC9" w:rsidRPr="005E58F9">
        <w:t xml:space="preserve">these three factors components of </w:t>
      </w:r>
      <w:r w:rsidRPr="005E58F9">
        <w:t xml:space="preserve">spiritual freedom, all these scholars allow us to assume that spiritual freedom is essential for economic prosperity. Therefore, this paper proposes and tests the following hypotheses: </w:t>
      </w:r>
    </w:p>
    <w:p w14:paraId="56063962" w14:textId="2A8FD6C7" w:rsidR="001E0CB8" w:rsidRPr="0047667D" w:rsidRDefault="001E0CB8" w:rsidP="000C1BBC">
      <w:pPr>
        <w:spacing w:line="480" w:lineRule="auto"/>
        <w:jc w:val="both"/>
        <w:rPr>
          <w:b/>
        </w:rPr>
      </w:pPr>
      <w:r w:rsidRPr="0047667D">
        <w:rPr>
          <w:b/>
        </w:rPr>
        <w:t xml:space="preserve">Hypothesis </w:t>
      </w:r>
      <w:r w:rsidR="0046724F">
        <w:rPr>
          <w:b/>
        </w:rPr>
        <w:t>0</w:t>
      </w:r>
      <w:r w:rsidRPr="0047667D">
        <w:rPr>
          <w:b/>
        </w:rPr>
        <w:t xml:space="preserve">. Spiritual freedom has no effect on economic prosperity. </w:t>
      </w:r>
    </w:p>
    <w:p w14:paraId="7096855A" w14:textId="1549890D" w:rsidR="00007B5C" w:rsidRDefault="001E0CB8" w:rsidP="000C1BBC">
      <w:pPr>
        <w:spacing w:line="480" w:lineRule="auto"/>
        <w:jc w:val="both"/>
        <w:rPr>
          <w:b/>
        </w:rPr>
      </w:pPr>
      <w:r w:rsidRPr="0047667D">
        <w:rPr>
          <w:b/>
        </w:rPr>
        <w:t xml:space="preserve">Hypothesis </w:t>
      </w:r>
      <w:r w:rsidR="0046724F">
        <w:rPr>
          <w:b/>
        </w:rPr>
        <w:t>1</w:t>
      </w:r>
      <w:r w:rsidRPr="0047667D">
        <w:rPr>
          <w:b/>
        </w:rPr>
        <w:t>. Spiritual freedom has a</w:t>
      </w:r>
      <w:r w:rsidR="00207800" w:rsidRPr="0047667D">
        <w:rPr>
          <w:b/>
        </w:rPr>
        <w:t>n</w:t>
      </w:r>
      <w:r w:rsidRPr="0047667D">
        <w:rPr>
          <w:b/>
        </w:rPr>
        <w:t xml:space="preserve"> effect on </w:t>
      </w:r>
      <w:r w:rsidR="00207800" w:rsidRPr="0047667D">
        <w:rPr>
          <w:b/>
        </w:rPr>
        <w:t>economic prosperity</w:t>
      </w:r>
      <w:r w:rsidRPr="0047667D">
        <w:rPr>
          <w:b/>
        </w:rPr>
        <w:t xml:space="preserve">. </w:t>
      </w:r>
    </w:p>
    <w:p w14:paraId="3B7D8DE9" w14:textId="77777777" w:rsidR="002929EA" w:rsidRPr="0047667D" w:rsidRDefault="002929EA" w:rsidP="000C1BBC">
      <w:pPr>
        <w:spacing w:line="480" w:lineRule="auto"/>
        <w:jc w:val="both"/>
        <w:rPr>
          <w:b/>
        </w:rPr>
      </w:pPr>
    </w:p>
    <w:p w14:paraId="4C42E8C9" w14:textId="21C5DE77" w:rsidR="00A92F8D" w:rsidRPr="0047667D" w:rsidRDefault="00A92F8D" w:rsidP="000C1BBC">
      <w:pPr>
        <w:pStyle w:val="ListParagraph"/>
        <w:numPr>
          <w:ilvl w:val="0"/>
          <w:numId w:val="5"/>
        </w:numPr>
        <w:spacing w:line="480" w:lineRule="auto"/>
        <w:jc w:val="both"/>
        <w:rPr>
          <w:b/>
        </w:rPr>
      </w:pPr>
      <w:r w:rsidRPr="0047667D">
        <w:rPr>
          <w:b/>
        </w:rPr>
        <w:t>Decomposition of spiritual freedom</w:t>
      </w:r>
    </w:p>
    <w:p w14:paraId="1C966468" w14:textId="2F991BB5" w:rsidR="00CD2FC9" w:rsidRPr="005E58F9" w:rsidRDefault="00CD2FC9" w:rsidP="000C1BBC">
      <w:pPr>
        <w:spacing w:line="480" w:lineRule="auto"/>
        <w:ind w:firstLine="720"/>
        <w:jc w:val="both"/>
      </w:pPr>
      <w:r w:rsidRPr="005E58F9">
        <w:t xml:space="preserve">To test for the hypotheses articulated above, spiritual freedom is decomposed into </w:t>
      </w:r>
      <w:r w:rsidR="009206F5" w:rsidRPr="005E58F9">
        <w:t xml:space="preserve">three </w:t>
      </w:r>
      <w:r w:rsidRPr="005E58F9">
        <w:t xml:space="preserve">different dimensions following the definition of Pope Francis. We distinguish between education, religious freedom and civil rights such as gender equity. </w:t>
      </w:r>
      <w:r w:rsidR="005161DF" w:rsidRPr="005E58F9">
        <w:t>B</w:t>
      </w:r>
      <w:r w:rsidR="0041085D" w:rsidRPr="005E58F9">
        <w:t xml:space="preserve">ecause of </w:t>
      </w:r>
      <w:r w:rsidR="00FE481B" w:rsidRPr="005E58F9">
        <w:t xml:space="preserve">education’s </w:t>
      </w:r>
      <w:r w:rsidR="0041085D" w:rsidRPr="005E58F9">
        <w:t>benefits for society and the poor and the fact it contributes to the common good of society,</w:t>
      </w:r>
      <w:r w:rsidR="00B11182" w:rsidRPr="005E58F9">
        <w:t xml:space="preserve"> the fact that religious freedom is one of the minimum requirements to live in dignity </w:t>
      </w:r>
      <w:r w:rsidR="00F77131" w:rsidRPr="005E58F9">
        <w:t xml:space="preserve">and that gender equity is </w:t>
      </w:r>
      <w:r w:rsidR="00F77131" w:rsidRPr="005E58F9">
        <w:lastRenderedPageBreak/>
        <w:t xml:space="preserve">essential for spiritual freedom, Pope </w:t>
      </w:r>
      <w:r w:rsidRPr="005E58F9">
        <w:t>Francis defines</w:t>
      </w:r>
      <w:r w:rsidR="00F77131" w:rsidRPr="005E58F9">
        <w:t xml:space="preserve"> this concept b</w:t>
      </w:r>
      <w:r w:rsidRPr="005E58F9">
        <w:t>y</w:t>
      </w:r>
      <w:r w:rsidR="00F77131" w:rsidRPr="005E58F9">
        <w:t xml:space="preserve"> these three elements.</w:t>
      </w:r>
      <w:r w:rsidRPr="005E58F9">
        <w:t xml:space="preserve"> To do this study, w</w:t>
      </w:r>
      <w:r w:rsidR="00BB1686" w:rsidRPr="005E58F9">
        <w:t xml:space="preserve">e </w:t>
      </w:r>
      <w:r w:rsidRPr="005E58F9">
        <w:t>have been</w:t>
      </w:r>
      <w:r w:rsidR="00BB1686" w:rsidRPr="005E58F9">
        <w:t xml:space="preserve"> inspired by the work of Ilan Alon and Gregory Chase (2005) in their article </w:t>
      </w:r>
      <w:r w:rsidR="00B800B0">
        <w:rPr>
          <w:i/>
          <w:iCs/>
        </w:rPr>
        <w:t>R</w:t>
      </w:r>
      <w:r w:rsidR="00BB1686" w:rsidRPr="00B800B0">
        <w:rPr>
          <w:i/>
          <w:iCs/>
        </w:rPr>
        <w:t>eligious freedom and economic prosperity</w:t>
      </w:r>
      <w:r w:rsidR="00BB1686" w:rsidRPr="005E58F9">
        <w:t xml:space="preserve"> in Cato journal</w:t>
      </w:r>
      <w:r w:rsidRPr="005E58F9">
        <w:t xml:space="preserve">. With this in mind, the model of this paper is designed to account for </w:t>
      </w:r>
      <w:r w:rsidR="009206F5" w:rsidRPr="005E58F9">
        <w:t>the effects</w:t>
      </w:r>
      <w:r w:rsidRPr="005E58F9">
        <w:t xml:space="preserve"> of education, religious freedom and gender equity</w:t>
      </w:r>
      <w:r w:rsidR="00F91F7E" w:rsidRPr="005E58F9">
        <w:t xml:space="preserve"> in economic prosperity by employing data </w:t>
      </w:r>
      <w:r w:rsidR="009206F5" w:rsidRPr="005E58F9">
        <w:t>from the World Bank Database and from</w:t>
      </w:r>
      <w:r w:rsidR="00F91F7E" w:rsidRPr="005E58F9">
        <w:t xml:space="preserve"> the </w:t>
      </w:r>
      <w:r w:rsidR="00F91F7E" w:rsidRPr="005E58F9">
        <w:rPr>
          <w:i/>
          <w:iCs/>
          <w:u w:val="single"/>
        </w:rPr>
        <w:t>Fordham</w:t>
      </w:r>
      <w:r w:rsidR="004901EE" w:rsidRPr="005E58F9">
        <w:rPr>
          <w:i/>
          <w:iCs/>
          <w:u w:val="single"/>
        </w:rPr>
        <w:t xml:space="preserve"> Pope</w:t>
      </w:r>
      <w:r w:rsidR="00F91F7E" w:rsidRPr="005E58F9">
        <w:rPr>
          <w:i/>
          <w:iCs/>
          <w:u w:val="single"/>
        </w:rPr>
        <w:t xml:space="preserve"> Francis Global Poverty report 2024</w:t>
      </w:r>
      <w:r w:rsidR="00F91F7E" w:rsidRPr="005E58F9">
        <w:t xml:space="preserve"> whose sources are</w:t>
      </w:r>
      <w:r w:rsidR="009206F5" w:rsidRPr="005E58F9">
        <w:t xml:space="preserve"> </w:t>
      </w:r>
      <w:r w:rsidR="00DD4CA6" w:rsidRPr="005E58F9">
        <w:t xml:space="preserve"> the UNESCO database for the </w:t>
      </w:r>
      <w:r w:rsidR="00634C50">
        <w:t>Adult Literacy Rate (ED)</w:t>
      </w:r>
      <w:r w:rsidR="00DA7261" w:rsidRPr="005E58F9">
        <w:t xml:space="preserve"> (measure of education)</w:t>
      </w:r>
      <w:r w:rsidR="00DD4CA6" w:rsidRPr="005E58F9">
        <w:t xml:space="preserve">, the world bank database for the Gender </w:t>
      </w:r>
      <w:r w:rsidR="00DA7261" w:rsidRPr="005E58F9">
        <w:t xml:space="preserve">Restriction </w:t>
      </w:r>
      <w:r w:rsidR="00DD4CA6" w:rsidRPr="005E58F9">
        <w:t>Indicator (</w:t>
      </w:r>
      <w:r w:rsidR="00634C50">
        <w:t>Health and Survival Index (GE)</w:t>
      </w:r>
      <w:r w:rsidR="00DD4CA6" w:rsidRPr="005E58F9">
        <w:t xml:space="preserve">) and the Pew Research Center data base for the </w:t>
      </w:r>
      <w:r w:rsidR="00634C50">
        <w:t>Government Restriction Index (RE)</w:t>
      </w:r>
      <w:r w:rsidR="00DA7261" w:rsidRPr="005E58F9">
        <w:t>(religious freedom).</w:t>
      </w:r>
    </w:p>
    <w:p w14:paraId="3DAAB475" w14:textId="57CFDB44" w:rsidR="0025708A" w:rsidRPr="005E58F9" w:rsidRDefault="0025708A" w:rsidP="000C1BBC">
      <w:pPr>
        <w:spacing w:line="480" w:lineRule="auto"/>
        <w:jc w:val="both"/>
      </w:pPr>
      <w:r w:rsidRPr="005E58F9">
        <w:t xml:space="preserve">- </w:t>
      </w:r>
      <w:r w:rsidR="00DA7261" w:rsidRPr="005E58F9">
        <w:rPr>
          <w:b/>
        </w:rPr>
        <w:t xml:space="preserve">The </w:t>
      </w:r>
      <w:r w:rsidR="00634C50">
        <w:rPr>
          <w:b/>
        </w:rPr>
        <w:t>Adult Literacy Rate (ED</w:t>
      </w:r>
      <w:r w:rsidR="00B3661C">
        <w:rPr>
          <w:b/>
        </w:rPr>
        <w:t>)</w:t>
      </w:r>
      <w:r w:rsidR="00B3661C" w:rsidRPr="005E58F9">
        <w:rPr>
          <w:b/>
        </w:rPr>
        <w:t>:</w:t>
      </w:r>
      <w:r w:rsidRPr="005E58F9">
        <w:t xml:space="preserve"> it is the percentage of the population </w:t>
      </w:r>
      <w:r w:rsidR="00B3661C" w:rsidRPr="005E58F9">
        <w:t>aged</w:t>
      </w:r>
      <w:r w:rsidRPr="005E58F9">
        <w:t xml:space="preserve"> 15 and above who can read, write, comprehend a simple statement about their everyday life</w:t>
      </w:r>
      <w:r w:rsidR="00035278">
        <w:t xml:space="preserve"> and continue to learn</w:t>
      </w:r>
      <w:r w:rsidRPr="005E58F9">
        <w:t xml:space="preserve">. It measures the basic minimum level of education that anyone should have. </w:t>
      </w:r>
    </w:p>
    <w:p w14:paraId="02826809" w14:textId="183A3BD2" w:rsidR="0025708A" w:rsidRPr="005E58F9" w:rsidRDefault="0025708A" w:rsidP="000C1BBC">
      <w:pPr>
        <w:spacing w:line="480" w:lineRule="auto"/>
        <w:jc w:val="both"/>
      </w:pPr>
      <w:r w:rsidRPr="005E58F9">
        <w:t>-</w:t>
      </w:r>
      <w:r w:rsidR="00DA7261" w:rsidRPr="005E58F9">
        <w:rPr>
          <w:b/>
        </w:rPr>
        <w:t>The G</w:t>
      </w:r>
      <w:r w:rsidRPr="005E58F9">
        <w:rPr>
          <w:b/>
        </w:rPr>
        <w:t>overnment Restrictions Index</w:t>
      </w:r>
      <w:r w:rsidR="00D21217" w:rsidRPr="005E58F9">
        <w:rPr>
          <w:b/>
        </w:rPr>
        <w:t xml:space="preserve"> (</w:t>
      </w:r>
      <w:r w:rsidR="00634C50">
        <w:rPr>
          <w:b/>
        </w:rPr>
        <w:t>RE</w:t>
      </w:r>
      <w:r w:rsidR="00D21217" w:rsidRPr="005E58F9">
        <w:rPr>
          <w:b/>
        </w:rPr>
        <w:t>)</w:t>
      </w:r>
      <w:r w:rsidRPr="005E58F9">
        <w:t xml:space="preserve"> (as a metric to measure religious freedom): it accounts for the role of government institutions in promoting or deterring religious freedom</w:t>
      </w:r>
      <w:r w:rsidR="00035278">
        <w:rPr>
          <w:rStyle w:val="FootnoteReference"/>
        </w:rPr>
        <w:footnoteReference w:id="15"/>
      </w:r>
      <w:r w:rsidRPr="005E58F9">
        <w:t>.</w:t>
      </w:r>
    </w:p>
    <w:p w14:paraId="1674ABD6" w14:textId="36A6C65E" w:rsidR="0073063A" w:rsidRDefault="0025708A" w:rsidP="000C1BBC">
      <w:pPr>
        <w:spacing w:line="480" w:lineRule="auto"/>
        <w:jc w:val="both"/>
      </w:pPr>
      <w:r w:rsidRPr="005E58F9">
        <w:t>-</w:t>
      </w:r>
      <w:r w:rsidR="00DA7261" w:rsidRPr="005E58F9">
        <w:rPr>
          <w:b/>
        </w:rPr>
        <w:t xml:space="preserve">The </w:t>
      </w:r>
      <w:r w:rsidR="00634C50">
        <w:rPr>
          <w:b/>
        </w:rPr>
        <w:t>Health and Survival Index (GE)</w:t>
      </w:r>
      <w:r w:rsidRPr="005E58F9">
        <w:rPr>
          <w:b/>
        </w:rPr>
        <w:t>.</w:t>
      </w:r>
      <w:r w:rsidRPr="005E58F9">
        <w:t xml:space="preserve"> This Index aggregates two components: sex ratio at birth, and the gender gap in healthy life expectancy.</w:t>
      </w:r>
    </w:p>
    <w:p w14:paraId="67DF801F" w14:textId="42A3D845" w:rsidR="002D7C5B" w:rsidRPr="005E58F9" w:rsidRDefault="00B800B0" w:rsidP="000C1BBC">
      <w:pPr>
        <w:spacing w:line="480" w:lineRule="auto"/>
        <w:jc w:val="both"/>
      </w:pPr>
      <w:r>
        <w:t xml:space="preserve">To measure economic prosperity, the </w:t>
      </w:r>
      <w:r w:rsidR="00634C50">
        <w:t>Log GDP per</w:t>
      </w:r>
      <w:r>
        <w:t xml:space="preserve"> capita</w:t>
      </w:r>
      <w:r w:rsidR="00634C50">
        <w:t xml:space="preserve"> (LogC)</w:t>
      </w:r>
      <w:r w:rsidR="0008041F">
        <w:t xml:space="preserve"> will be used</w:t>
      </w:r>
      <w:r>
        <w:t>. It is the sum of gross value added by all resident producers in the economy plus any product taxes and minus any subsidies not included in the value of the products. It is calculated without making deductions for depreciation of fabricated assets or for depletion and degradation of natural resources. Data are in current U.S. dollars.</w:t>
      </w:r>
    </w:p>
    <w:p w14:paraId="4C2A8989" w14:textId="5832151C" w:rsidR="00A92F8D" w:rsidRPr="0047667D" w:rsidRDefault="00A92F8D" w:rsidP="000C1BBC">
      <w:pPr>
        <w:pStyle w:val="ListParagraph"/>
        <w:numPr>
          <w:ilvl w:val="0"/>
          <w:numId w:val="5"/>
        </w:numPr>
        <w:tabs>
          <w:tab w:val="center" w:pos="4680"/>
        </w:tabs>
        <w:spacing w:line="480" w:lineRule="auto"/>
        <w:jc w:val="both"/>
        <w:rPr>
          <w:b/>
        </w:rPr>
      </w:pPr>
      <w:r w:rsidRPr="0047667D">
        <w:rPr>
          <w:b/>
        </w:rPr>
        <w:lastRenderedPageBreak/>
        <w:t>Economic analysis</w:t>
      </w:r>
      <w:r w:rsidR="008B4BFC" w:rsidRPr="0047667D">
        <w:rPr>
          <w:b/>
        </w:rPr>
        <w:t xml:space="preserve"> and Decomposition</w:t>
      </w:r>
    </w:p>
    <w:p w14:paraId="0B8CB175" w14:textId="056CF1CD" w:rsidR="00D21217" w:rsidRPr="005E58F9" w:rsidRDefault="00D21217" w:rsidP="000C1BBC">
      <w:pPr>
        <w:spacing w:line="480" w:lineRule="auto"/>
        <w:ind w:firstLine="360"/>
        <w:jc w:val="both"/>
      </w:pPr>
      <w:r w:rsidRPr="005E58F9">
        <w:t xml:space="preserve">The empirical model used for this analysis is presented below. The period of investigation is the year 2023 when </w:t>
      </w:r>
      <w:r w:rsidR="00B550E1">
        <w:t>we use the log form for the</w:t>
      </w:r>
      <w:r w:rsidRPr="005E58F9">
        <w:t xml:space="preserve"> dependent variable, because of the size of GDP.</w:t>
      </w:r>
      <w:r w:rsidR="00630403">
        <w:t xml:space="preserve"> We use data of 74 countries </w:t>
      </w:r>
      <w:r w:rsidR="00E1505F">
        <w:t>from Africa, America, Asia</w:t>
      </w:r>
      <w:r w:rsidR="007520B2">
        <w:t xml:space="preserve"> and</w:t>
      </w:r>
      <w:r w:rsidR="00E1505F">
        <w:t xml:space="preserve"> Europe</w:t>
      </w:r>
      <w:r w:rsidR="007520B2">
        <w:t xml:space="preserve">. They are </w:t>
      </w:r>
      <w:r w:rsidR="00630403">
        <w:t>listed in the appendix.</w:t>
      </w:r>
      <w:r w:rsidR="00706A09">
        <w:t xml:space="preserve"> Some of them are develop</w:t>
      </w:r>
      <w:r w:rsidR="00E1505F">
        <w:t xml:space="preserve">ed </w:t>
      </w:r>
      <w:r w:rsidR="007520B2">
        <w:t xml:space="preserve">countries </w:t>
      </w:r>
      <w:r w:rsidR="00E1505F">
        <w:t>while most are developing countries.</w:t>
      </w:r>
      <w:r w:rsidR="00586427">
        <w:t xml:space="preserve"> </w:t>
      </w:r>
    </w:p>
    <w:p w14:paraId="22386ADC" w14:textId="177CF5AF" w:rsidR="00DA7261" w:rsidRPr="008B1EEB" w:rsidRDefault="00D21217" w:rsidP="000C1BBC">
      <w:pPr>
        <w:spacing w:line="480" w:lineRule="auto"/>
        <w:jc w:val="both"/>
        <w:rPr>
          <w:b/>
          <w:i/>
          <w:iCs/>
        </w:rPr>
      </w:pPr>
      <w:r w:rsidRPr="008B1EEB">
        <w:rPr>
          <w:b/>
          <w:i/>
          <w:iCs/>
        </w:rPr>
        <w:t>Log</w:t>
      </w:r>
      <w:r w:rsidR="00DA7261" w:rsidRPr="008B1EEB">
        <w:rPr>
          <w:b/>
          <w:i/>
          <w:iCs/>
        </w:rPr>
        <w:t>G</w:t>
      </w:r>
      <w:r w:rsidR="00634C50">
        <w:rPr>
          <w:b/>
          <w:i/>
          <w:iCs/>
        </w:rPr>
        <w:t>C</w:t>
      </w:r>
      <w:r w:rsidR="00DA7261" w:rsidRPr="008B1EEB">
        <w:rPr>
          <w:b/>
          <w:i/>
          <w:iCs/>
        </w:rPr>
        <w:t>​ = β0 ​+ β1 ​(</w:t>
      </w:r>
      <w:r w:rsidR="00634C50">
        <w:rPr>
          <w:b/>
          <w:i/>
          <w:iCs/>
        </w:rPr>
        <w:t>ED</w:t>
      </w:r>
      <w:r w:rsidR="00DA7261" w:rsidRPr="008B1EEB">
        <w:rPr>
          <w:b/>
          <w:i/>
          <w:iCs/>
        </w:rPr>
        <w:t>)</w:t>
      </w:r>
      <w:r w:rsidR="008B1EEB">
        <w:rPr>
          <w:b/>
          <w:i/>
          <w:iCs/>
        </w:rPr>
        <w:t xml:space="preserve"> </w:t>
      </w:r>
      <w:r w:rsidR="00A15A32">
        <w:rPr>
          <w:b/>
          <w:i/>
          <w:iCs/>
        </w:rPr>
        <w:t>-</w:t>
      </w:r>
      <w:r w:rsidRPr="008B1EEB">
        <w:rPr>
          <w:b/>
          <w:i/>
          <w:iCs/>
        </w:rPr>
        <w:t xml:space="preserve"> </w:t>
      </w:r>
      <w:r w:rsidR="00DA7261" w:rsidRPr="008B1EEB">
        <w:rPr>
          <w:b/>
          <w:i/>
          <w:iCs/>
        </w:rPr>
        <w:t>β2​</w:t>
      </w:r>
      <w:r w:rsidRPr="008B1EEB">
        <w:rPr>
          <w:b/>
          <w:i/>
          <w:iCs/>
        </w:rPr>
        <w:t xml:space="preserve"> </w:t>
      </w:r>
      <w:r w:rsidR="00DA7261" w:rsidRPr="008B1EEB">
        <w:rPr>
          <w:b/>
          <w:i/>
          <w:iCs/>
        </w:rPr>
        <w:t>(</w:t>
      </w:r>
      <w:r w:rsidR="00634C50">
        <w:rPr>
          <w:b/>
          <w:i/>
          <w:iCs/>
        </w:rPr>
        <w:t>RE</w:t>
      </w:r>
      <w:r w:rsidR="00DA7261" w:rsidRPr="008B1EEB">
        <w:rPr>
          <w:b/>
          <w:i/>
          <w:iCs/>
        </w:rPr>
        <w:t>)</w:t>
      </w:r>
      <w:r w:rsidRPr="008B1EEB">
        <w:rPr>
          <w:b/>
          <w:i/>
          <w:iCs/>
        </w:rPr>
        <w:t xml:space="preserve"> </w:t>
      </w:r>
      <w:r w:rsidR="00DA7261" w:rsidRPr="008B1EEB">
        <w:rPr>
          <w:b/>
          <w:i/>
          <w:iCs/>
        </w:rPr>
        <w:t>+</w:t>
      </w:r>
      <w:r w:rsidR="008B1EEB">
        <w:rPr>
          <w:b/>
          <w:i/>
          <w:iCs/>
        </w:rPr>
        <w:t xml:space="preserve"> </w:t>
      </w:r>
      <w:r w:rsidR="00DA7261" w:rsidRPr="008B1EEB">
        <w:rPr>
          <w:b/>
          <w:i/>
          <w:iCs/>
        </w:rPr>
        <w:t>β3</w:t>
      </w:r>
      <w:r w:rsidRPr="008B1EEB">
        <w:rPr>
          <w:b/>
          <w:i/>
          <w:iCs/>
        </w:rPr>
        <w:t xml:space="preserve"> </w:t>
      </w:r>
      <w:r w:rsidR="00DA7261" w:rsidRPr="008B1EEB">
        <w:rPr>
          <w:b/>
          <w:i/>
          <w:iCs/>
        </w:rPr>
        <w:t>​(</w:t>
      </w:r>
      <w:r w:rsidR="00634C50">
        <w:rPr>
          <w:b/>
          <w:i/>
          <w:iCs/>
        </w:rPr>
        <w:t>GE</w:t>
      </w:r>
      <w:r w:rsidR="00DA7261" w:rsidRPr="008B1EEB">
        <w:rPr>
          <w:b/>
          <w:i/>
          <w:iCs/>
        </w:rPr>
        <w:t>)</w:t>
      </w:r>
      <w:r w:rsidRPr="008B1EEB">
        <w:rPr>
          <w:b/>
          <w:i/>
          <w:iCs/>
        </w:rPr>
        <w:t xml:space="preserve"> </w:t>
      </w:r>
      <w:r w:rsidR="00DA7261" w:rsidRPr="008B1EEB">
        <w:rPr>
          <w:b/>
          <w:i/>
          <w:iCs/>
        </w:rPr>
        <w:t>+</w:t>
      </w:r>
      <w:r w:rsidRPr="008B1EEB">
        <w:rPr>
          <w:b/>
          <w:i/>
          <w:iCs/>
        </w:rPr>
        <w:t xml:space="preserve"> </w:t>
      </w:r>
      <w:r w:rsidR="00DA7261" w:rsidRPr="008B1EEB">
        <w:rPr>
          <w:b/>
          <w:i/>
          <w:iCs/>
        </w:rPr>
        <w:t>ϵ</w:t>
      </w:r>
    </w:p>
    <w:p w14:paraId="27F8DFD4" w14:textId="7F15BA7F" w:rsidR="00D21217" w:rsidRPr="00D21217" w:rsidRDefault="00634C50" w:rsidP="000C1BBC">
      <w:pPr>
        <w:spacing w:line="480" w:lineRule="auto"/>
        <w:jc w:val="both"/>
      </w:pPr>
      <w:r>
        <w:rPr>
          <w:b/>
          <w:bCs/>
        </w:rPr>
        <w:t>LOGC</w:t>
      </w:r>
      <w:r w:rsidR="00D21217" w:rsidRPr="00D21217">
        <w:rPr>
          <w:b/>
          <w:bCs/>
        </w:rPr>
        <w:t>​</w:t>
      </w:r>
      <w:r w:rsidR="00D21217" w:rsidRPr="00D21217">
        <w:t xml:space="preserve">: Dependent variable </w:t>
      </w:r>
    </w:p>
    <w:p w14:paraId="11AF9425" w14:textId="59D81BA0" w:rsidR="00D21217" w:rsidRPr="00D21217" w:rsidRDefault="00634C50" w:rsidP="000C1BBC">
      <w:pPr>
        <w:spacing w:line="480" w:lineRule="auto"/>
        <w:jc w:val="both"/>
      </w:pPr>
      <w:r>
        <w:rPr>
          <w:b/>
          <w:bCs/>
        </w:rPr>
        <w:t>ED</w:t>
      </w:r>
      <w:r w:rsidR="00D21217" w:rsidRPr="00D21217">
        <w:t>: Independent variable</w:t>
      </w:r>
      <w:r w:rsidR="008B1EEB">
        <w:t>.</w:t>
      </w:r>
    </w:p>
    <w:p w14:paraId="17D317E6" w14:textId="7089FC5F" w:rsidR="00D21217" w:rsidRPr="00D21217" w:rsidRDefault="00634C50" w:rsidP="000C1BBC">
      <w:pPr>
        <w:spacing w:line="480" w:lineRule="auto"/>
        <w:jc w:val="both"/>
      </w:pPr>
      <w:r>
        <w:rPr>
          <w:b/>
          <w:bCs/>
        </w:rPr>
        <w:t>RE</w:t>
      </w:r>
      <w:r w:rsidR="00D21217" w:rsidRPr="00D21217">
        <w:t>: Independent variable</w:t>
      </w:r>
      <w:r w:rsidR="008B1EEB">
        <w:t>.</w:t>
      </w:r>
    </w:p>
    <w:p w14:paraId="18489ED6" w14:textId="7133FD62" w:rsidR="00D21217" w:rsidRPr="00D21217" w:rsidRDefault="00634C50" w:rsidP="000C1BBC">
      <w:pPr>
        <w:spacing w:line="480" w:lineRule="auto"/>
        <w:jc w:val="both"/>
      </w:pPr>
      <w:r>
        <w:rPr>
          <w:b/>
          <w:bCs/>
        </w:rPr>
        <w:t>GE</w:t>
      </w:r>
      <w:r w:rsidR="00D21217" w:rsidRPr="00D21217">
        <w:t>: Independent variable.</w:t>
      </w:r>
    </w:p>
    <w:p w14:paraId="0410906A" w14:textId="57F5EB16" w:rsidR="00D21217" w:rsidRPr="005E58F9" w:rsidRDefault="00D21217" w:rsidP="000C1BBC">
      <w:pPr>
        <w:spacing w:line="480" w:lineRule="auto"/>
        <w:jc w:val="both"/>
      </w:pPr>
      <w:r w:rsidRPr="005E58F9">
        <w:t xml:space="preserve"> </w:t>
      </w:r>
      <w:r w:rsidRPr="005E58F9">
        <w:rPr>
          <w:b/>
          <w:bCs/>
        </w:rPr>
        <w:t>ϵ</w:t>
      </w:r>
      <w:r w:rsidRPr="005E58F9">
        <w:t>: Error term (captures unobserved factors affecting GDP per capita)</w:t>
      </w:r>
    </w:p>
    <w:p w14:paraId="2A6C9566" w14:textId="2D2BD303" w:rsidR="00EE50EA" w:rsidRPr="00E13C75" w:rsidRDefault="00E1373E" w:rsidP="000C1BBC">
      <w:pPr>
        <w:spacing w:line="480" w:lineRule="auto"/>
        <w:jc w:val="both"/>
      </w:pPr>
      <w:r>
        <w:t>Expectations are to</w:t>
      </w:r>
      <w:r w:rsidR="00EE50EA">
        <w:t xml:space="preserve"> have a positive </w:t>
      </w:r>
      <w:r w:rsidR="00EE50EA" w:rsidRPr="008B1EEB">
        <w:rPr>
          <w:b/>
          <w:i/>
          <w:iCs/>
        </w:rPr>
        <w:t>β</w:t>
      </w:r>
      <w:r w:rsidR="00E13C75">
        <w:rPr>
          <w:b/>
          <w:i/>
          <w:iCs/>
        </w:rPr>
        <w:t>1</w:t>
      </w:r>
      <w:r w:rsidR="00EE50EA">
        <w:t xml:space="preserve">, a negative </w:t>
      </w:r>
      <w:r w:rsidR="00EE50EA" w:rsidRPr="008B1EEB">
        <w:rPr>
          <w:b/>
          <w:i/>
          <w:iCs/>
        </w:rPr>
        <w:t>β</w:t>
      </w:r>
      <w:r w:rsidR="00EE50EA">
        <w:rPr>
          <w:b/>
          <w:i/>
          <w:iCs/>
        </w:rPr>
        <w:t>2</w:t>
      </w:r>
      <w:r w:rsidR="00EE50EA">
        <w:t>,</w:t>
      </w:r>
      <w:r w:rsidR="000E55BF">
        <w:t xml:space="preserve"> (</w:t>
      </w:r>
      <w:r w:rsidR="00E13C75">
        <w:t xml:space="preserve">religious freedom is positive for economic prosperity. Therefore, </w:t>
      </w:r>
      <w:r w:rsidR="000E55BF">
        <w:t xml:space="preserve">the restrictions made by a government on religious freedom </w:t>
      </w:r>
      <w:r>
        <w:t>should have negative effects</w:t>
      </w:r>
      <w:r w:rsidR="000E55BF">
        <w:t>)</w:t>
      </w:r>
      <w:r w:rsidR="00EE50EA">
        <w:t xml:space="preserve"> </w:t>
      </w:r>
      <w:r w:rsidR="000E55BF">
        <w:t xml:space="preserve">and </w:t>
      </w:r>
      <w:r w:rsidR="00EE50EA">
        <w:t xml:space="preserve">a positive </w:t>
      </w:r>
      <w:r w:rsidR="00EE50EA" w:rsidRPr="00E13C75">
        <w:rPr>
          <w:b/>
          <w:i/>
          <w:iCs/>
        </w:rPr>
        <w:t>β</w:t>
      </w:r>
      <w:r w:rsidR="000E55BF" w:rsidRPr="00E13C75">
        <w:rPr>
          <w:b/>
          <w:i/>
          <w:iCs/>
        </w:rPr>
        <w:t>3</w:t>
      </w:r>
      <w:r w:rsidR="00EA3BDA" w:rsidRPr="00E13C75">
        <w:t xml:space="preserve"> (the integration of women i</w:t>
      </w:r>
      <w:r w:rsidR="00E13C75" w:rsidRPr="00E13C75">
        <w:t>n the society’s activities should be positive)</w:t>
      </w:r>
      <w:r w:rsidR="000E55BF" w:rsidRPr="00E13C75">
        <w:t>.</w:t>
      </w:r>
      <w:r w:rsidR="00F24BE9">
        <w:t xml:space="preserve"> There is no concern for </w:t>
      </w:r>
      <w:r w:rsidR="0066298F">
        <w:t xml:space="preserve">either </w:t>
      </w:r>
      <w:r w:rsidR="00B234F8">
        <w:t>multicollinearity</w:t>
      </w:r>
      <w:r w:rsidR="00F24BE9">
        <w:rPr>
          <w:rStyle w:val="FootnoteReference"/>
        </w:rPr>
        <w:footnoteReference w:id="16"/>
      </w:r>
      <w:r w:rsidR="0066298F">
        <w:t xml:space="preserve"> or heteroscedasticity</w:t>
      </w:r>
      <w:r w:rsidR="00F24BE9">
        <w:t>.</w:t>
      </w:r>
    </w:p>
    <w:p w14:paraId="29198B7F" w14:textId="52C1FA1B" w:rsidR="002929EA" w:rsidRDefault="00D21217" w:rsidP="000C1BBC">
      <w:pPr>
        <w:spacing w:line="480" w:lineRule="auto"/>
        <w:jc w:val="both"/>
      </w:pPr>
      <w:r w:rsidRPr="005E58F9">
        <w:t>Table 1</w:t>
      </w:r>
      <w:r w:rsidR="00D467FD" w:rsidRPr="005E58F9">
        <w:t xml:space="preserve"> and 2</w:t>
      </w:r>
      <w:r w:rsidRPr="005E58F9">
        <w:t xml:space="preserve"> provide the results of the analysis using cross section</w:t>
      </w:r>
      <w:r w:rsidR="00D467FD" w:rsidRPr="005E58F9">
        <w:t>al</w:t>
      </w:r>
      <w:r w:rsidRPr="005E58F9">
        <w:t xml:space="preserve"> data from 2023.</w:t>
      </w:r>
    </w:p>
    <w:p w14:paraId="5AC4FA15" w14:textId="66056E32" w:rsidR="00802AAB" w:rsidRPr="005E58F9" w:rsidRDefault="00D467FD" w:rsidP="000C1BBC">
      <w:pPr>
        <w:spacing w:line="480" w:lineRule="auto"/>
        <w:jc w:val="both"/>
      </w:pPr>
      <w:r w:rsidRPr="005E58F9">
        <w:t xml:space="preserve">In table 1, the results are presented for the whole sample of countries (74) even though we noticed </w:t>
      </w:r>
      <w:r w:rsidR="004360D6" w:rsidRPr="005E58F9">
        <w:t xml:space="preserve">that </w:t>
      </w:r>
      <w:r w:rsidRPr="005E58F9">
        <w:t>two values were missing.</w:t>
      </w:r>
      <w:r w:rsidR="00802AAB" w:rsidRPr="005E58F9">
        <w:t xml:space="preserve"> Though the equation </w:t>
      </w:r>
      <w:r w:rsidR="008B1EEB" w:rsidRPr="005E58F9">
        <w:t>is:</w:t>
      </w:r>
    </w:p>
    <w:p w14:paraId="62461392" w14:textId="4EEF11C1" w:rsidR="00016022" w:rsidRDefault="00802AAB" w:rsidP="000C1BBC">
      <w:pPr>
        <w:spacing w:line="480" w:lineRule="auto"/>
        <w:jc w:val="both"/>
        <w:rPr>
          <w:i/>
          <w:iCs/>
        </w:rPr>
      </w:pPr>
      <w:r w:rsidRPr="005E58F9">
        <w:rPr>
          <w:i/>
          <w:iCs/>
        </w:rPr>
        <w:t>LogG</w:t>
      </w:r>
      <w:r w:rsidR="00634C50">
        <w:rPr>
          <w:i/>
          <w:iCs/>
        </w:rPr>
        <w:t>C</w:t>
      </w:r>
      <w:r w:rsidRPr="005E58F9">
        <w:rPr>
          <w:i/>
          <w:iCs/>
        </w:rPr>
        <w:t>= 3.12 ​+ 1.36 ​(</w:t>
      </w:r>
      <w:r w:rsidR="00634C50">
        <w:rPr>
          <w:i/>
          <w:iCs/>
        </w:rPr>
        <w:t>ED</w:t>
      </w:r>
      <w:r w:rsidRPr="005E58F9">
        <w:rPr>
          <w:i/>
          <w:iCs/>
        </w:rPr>
        <w:t>) – 0.21​ (</w:t>
      </w:r>
      <w:r w:rsidR="00634C50">
        <w:rPr>
          <w:i/>
          <w:iCs/>
        </w:rPr>
        <w:t>RE</w:t>
      </w:r>
      <w:r w:rsidRPr="005E58F9">
        <w:rPr>
          <w:i/>
          <w:iCs/>
        </w:rPr>
        <w:t>) – 0.11 ​(</w:t>
      </w:r>
      <w:r w:rsidR="00634C50">
        <w:rPr>
          <w:i/>
          <w:iCs/>
        </w:rPr>
        <w:t>GE</w:t>
      </w:r>
      <w:r w:rsidRPr="005E58F9">
        <w:rPr>
          <w:i/>
          <w:iCs/>
        </w:rPr>
        <w:t xml:space="preserve">)  </w:t>
      </w:r>
    </w:p>
    <w:p w14:paraId="047FD677" w14:textId="739790DB" w:rsidR="0046724F" w:rsidRPr="0046724F" w:rsidRDefault="0046724F" w:rsidP="000C1BBC">
      <w:pPr>
        <w:spacing w:line="480" w:lineRule="auto"/>
        <w:jc w:val="both"/>
      </w:pPr>
      <w:r>
        <w:rPr>
          <w:bCs/>
        </w:rPr>
        <w:t>P</w:t>
      </w:r>
      <w:r w:rsidRPr="0046724F">
        <w:rPr>
          <w:bCs/>
        </w:rPr>
        <w:t>-value</w:t>
      </w:r>
      <w:r>
        <w:rPr>
          <w:bCs/>
        </w:rPr>
        <w:t xml:space="preserve"> of B1</w:t>
      </w:r>
      <w:r w:rsidRPr="0046724F">
        <w:t xml:space="preserve"> is </w:t>
      </w:r>
      <w:r w:rsidRPr="0046724F">
        <w:rPr>
          <w:bCs/>
        </w:rPr>
        <w:t>less than 0.001 therefore less than 0.</w:t>
      </w:r>
      <w:r>
        <w:rPr>
          <w:bCs/>
        </w:rPr>
        <w:t>1</w:t>
      </w:r>
      <w:r w:rsidR="00CC17E1">
        <w:rPr>
          <w:bCs/>
        </w:rPr>
        <w:t xml:space="preserve"> (10%)</w:t>
      </w:r>
      <w:r w:rsidRPr="0046724F">
        <w:t xml:space="preserve">, the null hypothesis </w:t>
      </w:r>
      <w:r>
        <w:t xml:space="preserve">is wrong </w:t>
      </w:r>
      <w:r w:rsidRPr="0046724F">
        <w:t xml:space="preserve">and </w:t>
      </w:r>
      <w:r>
        <w:t>B1</w:t>
      </w:r>
      <w:r w:rsidRPr="0046724F">
        <w:t xml:space="preserve"> is statistically significant at the </w:t>
      </w:r>
      <w:r>
        <w:t>10</w:t>
      </w:r>
      <w:r w:rsidRPr="0046724F">
        <w:t>% level</w:t>
      </w:r>
      <w:r>
        <w:t xml:space="preserve"> and </w:t>
      </w:r>
      <w:r w:rsidR="00634C50">
        <w:t>ED</w:t>
      </w:r>
      <w:r>
        <w:t xml:space="preserve"> </w:t>
      </w:r>
      <w:r w:rsidRPr="0046724F">
        <w:t xml:space="preserve">has a significant relationship with </w:t>
      </w:r>
      <w:r w:rsidR="00634C50" w:rsidRPr="0046724F">
        <w:t>LogGDP</w:t>
      </w:r>
      <w:r>
        <w:t xml:space="preserve"> per capita.</w:t>
      </w:r>
    </w:p>
    <w:p w14:paraId="3B7B3369" w14:textId="1DF5A14E" w:rsidR="003B1C18" w:rsidRPr="005E58F9" w:rsidRDefault="003B1C18" w:rsidP="000C1BBC">
      <w:pPr>
        <w:spacing w:line="480" w:lineRule="auto"/>
        <w:ind w:firstLine="720"/>
        <w:jc w:val="both"/>
      </w:pPr>
      <w:r w:rsidRPr="005E58F9">
        <w:lastRenderedPageBreak/>
        <w:t>The comparison between the global sample and each continent enables us to identify whether the effects of spiritual freedom differ in Africa, Europe, Asia or America.</w:t>
      </w:r>
    </w:p>
    <w:p w14:paraId="723BE735" w14:textId="29C5F726" w:rsidR="003B1C18" w:rsidRPr="005E58F9" w:rsidRDefault="003B1C18" w:rsidP="000C1BBC">
      <w:pPr>
        <w:spacing w:line="480" w:lineRule="auto"/>
        <w:jc w:val="both"/>
      </w:pPr>
      <w:r w:rsidRPr="005E58F9">
        <w:t xml:space="preserve">In the global sample, </w:t>
      </w:r>
      <w:r w:rsidR="003171D4" w:rsidRPr="005E58F9">
        <w:t>spiritual freedom</w:t>
      </w:r>
      <w:r w:rsidRPr="005E58F9">
        <w:t xml:space="preserve"> </w:t>
      </w:r>
      <w:r w:rsidR="003171D4" w:rsidRPr="005E58F9">
        <w:t xml:space="preserve">explains 57% of economic prosperity. Concerning each component, increasing </w:t>
      </w:r>
      <w:r w:rsidR="001953B1">
        <w:t>one</w:t>
      </w:r>
      <w:r w:rsidR="004360D6" w:rsidRPr="005E58F9">
        <w:t xml:space="preserve"> unit </w:t>
      </w:r>
      <w:r w:rsidR="003171D4" w:rsidRPr="005E58F9">
        <w:t xml:space="preserve">in the </w:t>
      </w:r>
      <w:r w:rsidR="00634C50">
        <w:t>Adult Literacy Rate (ED)</w:t>
      </w:r>
      <w:r w:rsidR="003171D4" w:rsidRPr="005E58F9">
        <w:t xml:space="preserve"> will increase GDP per capita by 137</w:t>
      </w:r>
      <w:r w:rsidR="004360D6" w:rsidRPr="005E58F9">
        <w:t>%</w:t>
      </w:r>
      <w:r w:rsidR="003171D4" w:rsidRPr="005E58F9">
        <w:t xml:space="preserve"> holding other variables constant.</w:t>
      </w:r>
      <w:r w:rsidR="0011777D" w:rsidRPr="005E58F9">
        <w:t xml:space="preserve"> Th</w:t>
      </w:r>
      <w:r w:rsidR="00761C9B" w:rsidRPr="005E58F9">
        <w:t xml:space="preserve">at means that </w:t>
      </w:r>
      <w:r w:rsidR="0011777D" w:rsidRPr="005E58F9">
        <w:t xml:space="preserve">the higher the </w:t>
      </w:r>
      <w:r w:rsidR="00634C50">
        <w:t>Adult Literacy Rate (ED)</w:t>
      </w:r>
      <w:r w:rsidR="0011777D" w:rsidRPr="005E58F9">
        <w:t>, the higher the GDP per capita.</w:t>
      </w:r>
      <w:r w:rsidRPr="005E58F9">
        <w:t xml:space="preserve"> </w:t>
      </w:r>
      <w:r w:rsidR="003171D4" w:rsidRPr="005E58F9">
        <w:t>However, the</w:t>
      </w:r>
      <w:r w:rsidR="0011777D" w:rsidRPr="005E58F9">
        <w:t xml:space="preserve"> results also show that the</w:t>
      </w:r>
      <w:r w:rsidR="003171D4" w:rsidRPr="005E58F9">
        <w:t xml:space="preserve"> higher the </w:t>
      </w:r>
      <w:r w:rsidR="00634C50">
        <w:t>Government Restriction Index (RE)</w:t>
      </w:r>
      <w:r w:rsidR="003171D4" w:rsidRPr="005E58F9">
        <w:t xml:space="preserve"> or the </w:t>
      </w:r>
      <w:r w:rsidR="00634C50">
        <w:t>Health and Survival Index (GE)</w:t>
      </w:r>
      <w:r w:rsidR="003171D4" w:rsidRPr="005E58F9">
        <w:t>, the l</w:t>
      </w:r>
      <w:r w:rsidR="0011777D" w:rsidRPr="005E58F9">
        <w:t>ow</w:t>
      </w:r>
      <w:r w:rsidR="003171D4" w:rsidRPr="005E58F9">
        <w:t>er the GDP per capita, holding other variables constant.</w:t>
      </w:r>
      <w:r w:rsidR="0011777D" w:rsidRPr="005E58F9">
        <w:t xml:space="preserve"> Th</w:t>
      </w:r>
      <w:r w:rsidR="00761C9B" w:rsidRPr="005E58F9">
        <w:t xml:space="preserve">e </w:t>
      </w:r>
      <w:r w:rsidR="0011777D" w:rsidRPr="005E58F9">
        <w:t>result</w:t>
      </w:r>
      <w:r w:rsidR="00761C9B" w:rsidRPr="005E58F9">
        <w:t xml:space="preserve">s of the </w:t>
      </w:r>
      <w:r w:rsidR="00634C50">
        <w:t>Adult Literacy Rate (ED)</w:t>
      </w:r>
      <w:r w:rsidR="00761C9B" w:rsidRPr="005E58F9">
        <w:t xml:space="preserve"> and the </w:t>
      </w:r>
      <w:r w:rsidR="00634C50">
        <w:t xml:space="preserve">Government Restriction Index (RE) </w:t>
      </w:r>
      <w:r w:rsidR="00761C9B" w:rsidRPr="005E58F9">
        <w:t>are intuitive and are those we were expecting. But</w:t>
      </w:r>
      <w:r w:rsidR="0011777D" w:rsidRPr="005E58F9">
        <w:t xml:space="preserve"> the </w:t>
      </w:r>
      <w:r w:rsidR="00634C50">
        <w:t>Health and Survival Index (GE)</w:t>
      </w:r>
      <w:r w:rsidR="00761C9B" w:rsidRPr="005E58F9">
        <w:t xml:space="preserve">’s </w:t>
      </w:r>
      <w:r w:rsidR="00944DFC" w:rsidRPr="005E58F9">
        <w:t>results</w:t>
      </w:r>
      <w:r w:rsidR="00761C9B" w:rsidRPr="005E58F9">
        <w:t xml:space="preserve"> </w:t>
      </w:r>
      <w:r w:rsidR="00944DFC" w:rsidRPr="005E58F9">
        <w:t>are</w:t>
      </w:r>
      <w:r w:rsidR="00761C9B" w:rsidRPr="005E58F9">
        <w:t xml:space="preserve"> counter intuitive and </w:t>
      </w:r>
      <w:r w:rsidR="0011777D" w:rsidRPr="005E58F9">
        <w:t xml:space="preserve">contrary </w:t>
      </w:r>
      <w:r w:rsidR="00761C9B" w:rsidRPr="005E58F9">
        <w:t>to what</w:t>
      </w:r>
      <w:r w:rsidR="0011777D" w:rsidRPr="005E58F9">
        <w:t xml:space="preserve"> the literature </w:t>
      </w:r>
      <w:r w:rsidR="00761C9B" w:rsidRPr="005E58F9">
        <w:t>says.</w:t>
      </w:r>
    </w:p>
    <w:p w14:paraId="62B758C4" w14:textId="6DE56752" w:rsidR="007A31A4" w:rsidRPr="005E58F9" w:rsidRDefault="007A31A4" w:rsidP="000C1BBC">
      <w:pPr>
        <w:spacing w:line="480" w:lineRule="auto"/>
        <w:jc w:val="both"/>
      </w:pPr>
      <w:r w:rsidRPr="005E58F9">
        <w:t>When the sample is limited to</w:t>
      </w:r>
      <w:r w:rsidR="00802AAB" w:rsidRPr="005E58F9">
        <w:t xml:space="preserve"> </w:t>
      </w:r>
      <w:r w:rsidR="004C5A34" w:rsidRPr="005E58F9">
        <w:t>groups</w:t>
      </w:r>
      <w:r w:rsidRPr="005E58F9">
        <w:t>, the results show quite a different outlook</w:t>
      </w:r>
      <w:r w:rsidR="00944DFC" w:rsidRPr="005E58F9">
        <w:t>:</w:t>
      </w:r>
    </w:p>
    <w:p w14:paraId="3B2775F5" w14:textId="4B4E6DA9" w:rsidR="00944DFC" w:rsidRPr="005E58F9" w:rsidRDefault="00944DFC" w:rsidP="000C1BBC">
      <w:pPr>
        <w:spacing w:line="480" w:lineRule="auto"/>
        <w:jc w:val="both"/>
      </w:pPr>
      <w:r w:rsidRPr="005E58F9">
        <w:t>For European countries (9 countries over 74 in the sample), we g</w:t>
      </w:r>
      <w:r w:rsidR="00802AAB" w:rsidRPr="005E58F9">
        <w:t>o</w:t>
      </w:r>
      <w:r w:rsidRPr="005E58F9">
        <w:t>t this equation</w:t>
      </w:r>
      <w:r w:rsidR="00802AAB" w:rsidRPr="005E58F9">
        <w:t>:</w:t>
      </w:r>
    </w:p>
    <w:p w14:paraId="0F0CA4FF" w14:textId="7B71719A" w:rsidR="00944DFC" w:rsidRPr="005E58F9" w:rsidRDefault="00944DFC" w:rsidP="000C1BBC">
      <w:pPr>
        <w:spacing w:line="480" w:lineRule="auto"/>
        <w:jc w:val="both"/>
        <w:rPr>
          <w:i/>
          <w:iCs/>
        </w:rPr>
      </w:pPr>
      <w:r w:rsidRPr="005E58F9">
        <w:rPr>
          <w:i/>
          <w:iCs/>
        </w:rPr>
        <w:t>LogG</w:t>
      </w:r>
      <w:r w:rsidR="00634C50">
        <w:rPr>
          <w:i/>
          <w:iCs/>
        </w:rPr>
        <w:t>C</w:t>
      </w:r>
      <w:r w:rsidRPr="005E58F9">
        <w:rPr>
          <w:i/>
          <w:iCs/>
        </w:rPr>
        <w:t xml:space="preserve">​ = </w:t>
      </w:r>
      <w:r w:rsidR="00802AAB" w:rsidRPr="005E58F9">
        <w:rPr>
          <w:i/>
          <w:iCs/>
        </w:rPr>
        <w:t>7.63</w:t>
      </w:r>
      <w:r w:rsidRPr="005E58F9">
        <w:rPr>
          <w:i/>
          <w:iCs/>
        </w:rPr>
        <w:t xml:space="preserve"> ​</w:t>
      </w:r>
      <w:r w:rsidR="00802AAB" w:rsidRPr="005E58F9">
        <w:rPr>
          <w:i/>
          <w:iCs/>
        </w:rPr>
        <w:t>– 3.02</w:t>
      </w:r>
      <w:r w:rsidRPr="005E58F9">
        <w:rPr>
          <w:i/>
          <w:iCs/>
        </w:rPr>
        <w:t xml:space="preserve"> ​(</w:t>
      </w:r>
      <w:r w:rsidR="00634C50">
        <w:rPr>
          <w:i/>
          <w:iCs/>
        </w:rPr>
        <w:t>ED</w:t>
      </w:r>
      <w:r w:rsidRPr="005E58F9">
        <w:rPr>
          <w:i/>
          <w:iCs/>
        </w:rPr>
        <w:t>)</w:t>
      </w:r>
      <w:r w:rsidR="00802AAB" w:rsidRPr="005E58F9">
        <w:rPr>
          <w:i/>
          <w:iCs/>
        </w:rPr>
        <w:t xml:space="preserve"> – 0.42</w:t>
      </w:r>
      <w:r w:rsidRPr="005E58F9">
        <w:rPr>
          <w:i/>
          <w:iCs/>
        </w:rPr>
        <w:t>​ (</w:t>
      </w:r>
      <w:r w:rsidR="00634C50">
        <w:rPr>
          <w:i/>
          <w:iCs/>
        </w:rPr>
        <w:t>RE</w:t>
      </w:r>
      <w:r w:rsidRPr="005E58F9">
        <w:rPr>
          <w:i/>
          <w:iCs/>
        </w:rPr>
        <w:t xml:space="preserve">) </w:t>
      </w:r>
      <w:r w:rsidR="00802AAB" w:rsidRPr="005E58F9">
        <w:rPr>
          <w:i/>
          <w:iCs/>
        </w:rPr>
        <w:t>– 0.018</w:t>
      </w:r>
      <w:r w:rsidRPr="005E58F9">
        <w:rPr>
          <w:i/>
          <w:iCs/>
        </w:rPr>
        <w:t xml:space="preserve"> ​(</w:t>
      </w:r>
      <w:r w:rsidR="00634C50">
        <w:rPr>
          <w:i/>
          <w:iCs/>
        </w:rPr>
        <w:t>GE</w:t>
      </w:r>
      <w:r w:rsidRPr="005E58F9">
        <w:rPr>
          <w:i/>
          <w:iCs/>
        </w:rPr>
        <w:t>)</w:t>
      </w:r>
    </w:p>
    <w:p w14:paraId="573AA339" w14:textId="6A9D2E30" w:rsidR="00802AAB" w:rsidRPr="005E58F9" w:rsidRDefault="00802AAB" w:rsidP="000C1BBC">
      <w:pPr>
        <w:spacing w:line="480" w:lineRule="auto"/>
        <w:jc w:val="both"/>
      </w:pPr>
      <w:r w:rsidRPr="005E58F9">
        <w:t xml:space="preserve">That means that even the </w:t>
      </w:r>
      <w:r w:rsidR="00634C50">
        <w:t>Adult Literacy Rate (ED)</w:t>
      </w:r>
      <w:r w:rsidRPr="005E58F9">
        <w:t xml:space="preserve"> has a bad influence on the GDP per capita and the model explains 51% of the phenomenon.</w:t>
      </w:r>
      <w:r w:rsidR="0046724F">
        <w:t xml:space="preserve"> No coefficient is statistically significant at 10%.</w:t>
      </w:r>
      <w:r w:rsidR="00EF3E87">
        <w:t xml:space="preserve"> </w:t>
      </w:r>
      <w:r w:rsidR="004745A7">
        <w:t>Even if we had a R2 of 51%, t</w:t>
      </w:r>
      <w:r w:rsidR="00EF3E87" w:rsidRPr="00EF3E87">
        <w:t>he model doesn't include important variables that influence the dependent variable</w:t>
      </w:r>
      <w:r w:rsidR="000C6D01">
        <w:t>.</w:t>
      </w:r>
    </w:p>
    <w:p w14:paraId="1385E959" w14:textId="22B9B38C" w:rsidR="00792D5E" w:rsidRPr="005E58F9" w:rsidRDefault="00792D5E" w:rsidP="000C1BBC">
      <w:pPr>
        <w:spacing w:line="480" w:lineRule="auto"/>
        <w:jc w:val="both"/>
      </w:pPr>
      <w:r w:rsidRPr="005E58F9">
        <w:t>For Asian countries (17 countries over 74 in the sample), we got this equation:</w:t>
      </w:r>
    </w:p>
    <w:p w14:paraId="07001E80" w14:textId="6FA016E9" w:rsidR="00944DFC" w:rsidRPr="005E58F9" w:rsidRDefault="00802AAB" w:rsidP="000C1BBC">
      <w:pPr>
        <w:spacing w:line="480" w:lineRule="auto"/>
        <w:jc w:val="both"/>
      </w:pPr>
      <w:r w:rsidRPr="005E58F9">
        <w:rPr>
          <w:i/>
          <w:iCs/>
        </w:rPr>
        <w:t>LogG</w:t>
      </w:r>
      <w:r w:rsidR="00634C50">
        <w:rPr>
          <w:i/>
          <w:iCs/>
        </w:rPr>
        <w:t>C</w:t>
      </w:r>
      <w:r w:rsidRPr="005E58F9">
        <w:rPr>
          <w:i/>
          <w:iCs/>
        </w:rPr>
        <w:t xml:space="preserve">​ = </w:t>
      </w:r>
      <w:r w:rsidR="00792D5E" w:rsidRPr="005E58F9">
        <w:rPr>
          <w:i/>
          <w:iCs/>
        </w:rPr>
        <w:t>3.39</w:t>
      </w:r>
      <w:r w:rsidRPr="005E58F9">
        <w:rPr>
          <w:i/>
          <w:iCs/>
        </w:rPr>
        <w:t xml:space="preserve"> ​+ </w:t>
      </w:r>
      <w:r w:rsidR="00792D5E" w:rsidRPr="005E58F9">
        <w:rPr>
          <w:i/>
          <w:iCs/>
        </w:rPr>
        <w:t>1.06</w:t>
      </w:r>
      <w:r w:rsidRPr="005E58F9">
        <w:rPr>
          <w:i/>
          <w:iCs/>
        </w:rPr>
        <w:t xml:space="preserve"> ​(</w:t>
      </w:r>
      <w:r w:rsidR="00634C50">
        <w:rPr>
          <w:i/>
          <w:iCs/>
        </w:rPr>
        <w:t>ED</w:t>
      </w:r>
      <w:r w:rsidRPr="005E58F9">
        <w:rPr>
          <w:i/>
          <w:iCs/>
        </w:rPr>
        <w:t xml:space="preserve">)+ </w:t>
      </w:r>
      <w:r w:rsidR="00792D5E" w:rsidRPr="005E58F9">
        <w:rPr>
          <w:i/>
          <w:iCs/>
        </w:rPr>
        <w:t>0.09</w:t>
      </w:r>
      <w:r w:rsidRPr="005E58F9">
        <w:rPr>
          <w:i/>
          <w:iCs/>
        </w:rPr>
        <w:t>​ (</w:t>
      </w:r>
      <w:r w:rsidR="00634C50">
        <w:rPr>
          <w:i/>
          <w:iCs/>
        </w:rPr>
        <w:t>RE</w:t>
      </w:r>
      <w:r w:rsidRPr="005E58F9">
        <w:rPr>
          <w:i/>
          <w:iCs/>
        </w:rPr>
        <w:t xml:space="preserve">) </w:t>
      </w:r>
      <w:r w:rsidR="00792D5E" w:rsidRPr="005E58F9">
        <w:rPr>
          <w:i/>
          <w:iCs/>
        </w:rPr>
        <w:t>– 0.43</w:t>
      </w:r>
      <w:r w:rsidRPr="005E58F9">
        <w:rPr>
          <w:i/>
          <w:iCs/>
        </w:rPr>
        <w:t xml:space="preserve"> ​(</w:t>
      </w:r>
      <w:r w:rsidR="00634C50">
        <w:rPr>
          <w:i/>
          <w:iCs/>
        </w:rPr>
        <w:t>GE</w:t>
      </w:r>
      <w:r w:rsidRPr="005E58F9">
        <w:rPr>
          <w:i/>
          <w:iCs/>
        </w:rPr>
        <w:t>)</w:t>
      </w:r>
      <w:r w:rsidR="00792D5E" w:rsidRPr="005E58F9">
        <w:rPr>
          <w:i/>
          <w:iCs/>
        </w:rPr>
        <w:t xml:space="preserve"> </w:t>
      </w:r>
      <w:r w:rsidR="00792D5E" w:rsidRPr="005E58F9">
        <w:t xml:space="preserve">and </w:t>
      </w:r>
      <w:r w:rsidR="00955DA8">
        <w:t>only</w:t>
      </w:r>
      <w:r w:rsidR="00792D5E" w:rsidRPr="005E58F9">
        <w:t xml:space="preserve"> 46% of the phenomenon</w:t>
      </w:r>
      <w:r w:rsidR="00F23ACE">
        <w:t xml:space="preserve"> is explained by the predictor</w:t>
      </w:r>
      <w:r w:rsidR="00B11310">
        <w:t>s</w:t>
      </w:r>
      <w:r w:rsidR="00792D5E" w:rsidRPr="005E58F9">
        <w:t xml:space="preserve">. </w:t>
      </w:r>
      <w:r w:rsidR="0046724F">
        <w:t xml:space="preserve">P-value </w:t>
      </w:r>
      <w:r w:rsidR="00634C50">
        <w:t>ED</w:t>
      </w:r>
      <w:r w:rsidR="0046724F">
        <w:t xml:space="preserve"> =0.01. Therefore, </w:t>
      </w:r>
      <w:r w:rsidR="00634C50">
        <w:t>ED</w:t>
      </w:r>
      <w:r w:rsidR="0046724F">
        <w:t xml:space="preserve"> is statistically significant at 10%.</w:t>
      </w:r>
    </w:p>
    <w:p w14:paraId="10053E3B" w14:textId="01F779B5" w:rsidR="00802AAB" w:rsidRPr="005E58F9" w:rsidRDefault="00944DFC" w:rsidP="000C1BBC">
      <w:pPr>
        <w:spacing w:line="480" w:lineRule="auto"/>
        <w:jc w:val="both"/>
      </w:pPr>
      <w:r w:rsidRPr="005E58F9">
        <w:t xml:space="preserve">For African countries, </w:t>
      </w:r>
      <w:r w:rsidR="00802AAB" w:rsidRPr="005E58F9">
        <w:t>(</w:t>
      </w:r>
      <w:r w:rsidR="00792D5E" w:rsidRPr="005E58F9">
        <w:t>32</w:t>
      </w:r>
      <w:r w:rsidR="00802AAB" w:rsidRPr="005E58F9">
        <w:t xml:space="preserve"> countries over 74 in the sample), we got this equation:</w:t>
      </w:r>
    </w:p>
    <w:p w14:paraId="3135C53D" w14:textId="0F55F5BC" w:rsidR="00792D5E" w:rsidRPr="005E58F9" w:rsidRDefault="00792D5E" w:rsidP="000C1BBC">
      <w:pPr>
        <w:spacing w:line="480" w:lineRule="auto"/>
        <w:jc w:val="both"/>
      </w:pPr>
      <w:r w:rsidRPr="005E58F9">
        <w:rPr>
          <w:i/>
          <w:iCs/>
        </w:rPr>
        <w:lastRenderedPageBreak/>
        <w:t>LogG</w:t>
      </w:r>
      <w:r w:rsidR="00634C50">
        <w:rPr>
          <w:i/>
          <w:iCs/>
        </w:rPr>
        <w:t>C</w:t>
      </w:r>
      <w:r w:rsidRPr="005E58F9">
        <w:rPr>
          <w:i/>
          <w:iCs/>
        </w:rPr>
        <w:t>= 3.63 ​+ 0.92 ​(</w:t>
      </w:r>
      <w:r w:rsidR="00634C50">
        <w:rPr>
          <w:i/>
          <w:iCs/>
        </w:rPr>
        <w:t>ED</w:t>
      </w:r>
      <w:r w:rsidRPr="005E58F9">
        <w:rPr>
          <w:i/>
          <w:iCs/>
        </w:rPr>
        <w:t>) – 0.52​ (</w:t>
      </w:r>
      <w:r w:rsidR="00634C50">
        <w:rPr>
          <w:i/>
          <w:iCs/>
        </w:rPr>
        <w:t>RE</w:t>
      </w:r>
      <w:r w:rsidRPr="005E58F9">
        <w:rPr>
          <w:i/>
          <w:iCs/>
        </w:rPr>
        <w:t>) – 0.21 ​(</w:t>
      </w:r>
      <w:r w:rsidR="00634C50">
        <w:rPr>
          <w:i/>
          <w:iCs/>
        </w:rPr>
        <w:t>GE</w:t>
      </w:r>
      <w:r w:rsidRPr="005E58F9">
        <w:rPr>
          <w:i/>
          <w:iCs/>
        </w:rPr>
        <w:t xml:space="preserve">) </w:t>
      </w:r>
      <w:r w:rsidRPr="005E58F9">
        <w:t xml:space="preserve">and the model explains 42% of the phenomenon. </w:t>
      </w:r>
      <w:r w:rsidR="001B0694">
        <w:t xml:space="preserve">P-value EDUCATION=0.0013. P-value RELIGION=0.07. Therefore, </w:t>
      </w:r>
      <w:r w:rsidR="00634C50">
        <w:t>ED</w:t>
      </w:r>
      <w:r w:rsidR="001B0694">
        <w:t xml:space="preserve"> and </w:t>
      </w:r>
      <w:r w:rsidR="00634C50">
        <w:t>RE</w:t>
      </w:r>
      <w:r w:rsidR="001B0694">
        <w:t xml:space="preserve"> are statistically significant at 10%. </w:t>
      </w:r>
    </w:p>
    <w:p w14:paraId="2A3748F6" w14:textId="77777777" w:rsidR="00792D5E" w:rsidRPr="005E58F9" w:rsidRDefault="00792D5E" w:rsidP="000C1BBC">
      <w:pPr>
        <w:spacing w:line="480" w:lineRule="auto"/>
        <w:jc w:val="both"/>
      </w:pPr>
      <w:r w:rsidRPr="005E58F9">
        <w:t>For American countries (16 countries over 74 in the sample), we got this equation:</w:t>
      </w:r>
    </w:p>
    <w:p w14:paraId="4159523B" w14:textId="00C90B81" w:rsidR="0092126E" w:rsidRPr="005E58F9" w:rsidRDefault="00792D5E" w:rsidP="000C1BBC">
      <w:pPr>
        <w:spacing w:line="480" w:lineRule="auto"/>
        <w:jc w:val="both"/>
      </w:pPr>
      <w:r w:rsidRPr="005E58F9">
        <w:rPr>
          <w:i/>
          <w:iCs/>
        </w:rPr>
        <w:t>LogG</w:t>
      </w:r>
      <w:r w:rsidR="00634C50">
        <w:rPr>
          <w:i/>
          <w:iCs/>
        </w:rPr>
        <w:t>C</w:t>
      </w:r>
      <w:r w:rsidRPr="005E58F9">
        <w:rPr>
          <w:i/>
          <w:iCs/>
        </w:rPr>
        <w:t>= 1.66 ​+ 1.96 ​(</w:t>
      </w:r>
      <w:r w:rsidR="00634C50">
        <w:rPr>
          <w:i/>
          <w:iCs/>
        </w:rPr>
        <w:t>ED</w:t>
      </w:r>
      <w:r w:rsidRPr="005E58F9">
        <w:rPr>
          <w:i/>
          <w:iCs/>
        </w:rPr>
        <w:t>) – 0.44​ (</w:t>
      </w:r>
      <w:r w:rsidR="00634C50">
        <w:rPr>
          <w:i/>
          <w:iCs/>
        </w:rPr>
        <w:t>RE</w:t>
      </w:r>
      <w:r w:rsidRPr="005E58F9">
        <w:rPr>
          <w:i/>
          <w:iCs/>
        </w:rPr>
        <w:t>) + 1.29 ​(</w:t>
      </w:r>
      <w:r w:rsidR="00634C50">
        <w:rPr>
          <w:i/>
          <w:iCs/>
        </w:rPr>
        <w:t>GE</w:t>
      </w:r>
      <w:r w:rsidRPr="005E58F9">
        <w:rPr>
          <w:i/>
          <w:iCs/>
        </w:rPr>
        <w:t xml:space="preserve">) </w:t>
      </w:r>
      <w:r w:rsidRPr="005E58F9">
        <w:t xml:space="preserve">and the model explains 55% of the phenomenon. </w:t>
      </w:r>
      <w:r w:rsidR="001B0694">
        <w:t xml:space="preserve">P-value EDUCATION=0.06. P-value GENRE=0.02. Therefore, </w:t>
      </w:r>
      <w:r w:rsidR="00634C50">
        <w:t>ED</w:t>
      </w:r>
      <w:r w:rsidR="001B0694">
        <w:t xml:space="preserve"> and </w:t>
      </w:r>
      <w:r w:rsidR="00634C50">
        <w:t>GE</w:t>
      </w:r>
      <w:r w:rsidR="001B0694">
        <w:t xml:space="preserve"> are statistically significant at 10%. </w:t>
      </w:r>
    </w:p>
    <w:p w14:paraId="4CFC6C53" w14:textId="5FE89BFA" w:rsidR="0013670B" w:rsidRPr="005E58F9" w:rsidRDefault="0092126E" w:rsidP="000C1BBC">
      <w:pPr>
        <w:spacing w:line="480" w:lineRule="auto"/>
        <w:ind w:firstLine="720"/>
        <w:jc w:val="both"/>
      </w:pPr>
      <w:r w:rsidRPr="005E58F9">
        <w:t>This comparison suggests that when the literature talks about the positive effects of spiritual freedom on economic prosperity, the countries most concerned are those of America.</w:t>
      </w:r>
    </w:p>
    <w:p w14:paraId="1CAA02CC" w14:textId="230EC9AE" w:rsidR="004C5A34" w:rsidRDefault="0092126E" w:rsidP="000C1BBC">
      <w:pPr>
        <w:spacing w:line="480" w:lineRule="auto"/>
        <w:ind w:firstLine="720"/>
        <w:jc w:val="both"/>
      </w:pPr>
      <w:r w:rsidRPr="005E58F9">
        <w:t>T</w:t>
      </w:r>
      <w:r w:rsidR="00A322B2" w:rsidRPr="005E58F9">
        <w:t xml:space="preserve">he decomposition analysis shows </w:t>
      </w:r>
      <w:r w:rsidR="008B4BFC" w:rsidRPr="005E58F9">
        <w:t>a</w:t>
      </w:r>
      <w:r w:rsidR="00207800">
        <w:t xml:space="preserve">n </w:t>
      </w:r>
      <w:r w:rsidR="00A322B2" w:rsidRPr="005E58F9">
        <w:t>effect of s</w:t>
      </w:r>
      <w:r w:rsidR="008B4BFC" w:rsidRPr="005E58F9">
        <w:t xml:space="preserve">piritual freedom </w:t>
      </w:r>
      <w:r w:rsidR="00A322B2" w:rsidRPr="005E58F9">
        <w:t xml:space="preserve">on </w:t>
      </w:r>
      <w:r w:rsidR="008B4BFC" w:rsidRPr="005E58F9">
        <w:t>GDP per capita</w:t>
      </w:r>
      <w:r w:rsidR="00A322B2" w:rsidRPr="005E58F9">
        <w:t xml:space="preserve"> in general</w:t>
      </w:r>
      <w:r w:rsidR="008B4BFC" w:rsidRPr="005E58F9">
        <w:t xml:space="preserve">. </w:t>
      </w:r>
      <w:r w:rsidR="00A322B2" w:rsidRPr="005E58F9">
        <w:t xml:space="preserve">These findings disclose </w:t>
      </w:r>
      <w:r w:rsidR="005E58F9" w:rsidRPr="005E58F9">
        <w:t>its</w:t>
      </w:r>
      <w:r w:rsidR="00A322B2" w:rsidRPr="005E58F9">
        <w:t xml:space="preserve"> importance </w:t>
      </w:r>
      <w:r w:rsidR="00773524">
        <w:t xml:space="preserve">in </w:t>
      </w:r>
      <w:r w:rsidR="008B4BFC" w:rsidRPr="005E58F9">
        <w:t>America</w:t>
      </w:r>
      <w:r w:rsidR="005E58F9" w:rsidRPr="005E58F9">
        <w:t xml:space="preserve">. </w:t>
      </w:r>
      <w:r w:rsidR="00A322B2" w:rsidRPr="005E58F9">
        <w:t xml:space="preserve">Regarding the effects of individual </w:t>
      </w:r>
      <w:r w:rsidR="005E58F9" w:rsidRPr="005E58F9">
        <w:t>variables</w:t>
      </w:r>
      <w:r w:rsidR="00A322B2" w:rsidRPr="005E58F9">
        <w:t xml:space="preserve">, </w:t>
      </w:r>
      <w:r w:rsidR="00634C50">
        <w:t>Adult Literacy Rate (ED)</w:t>
      </w:r>
      <w:r w:rsidR="00A322B2" w:rsidRPr="005E58F9">
        <w:t xml:space="preserve"> is an important determinant that </w:t>
      </w:r>
      <w:r w:rsidR="005E58F9" w:rsidRPr="005E58F9">
        <w:t xml:space="preserve">leads to economic prosperity. </w:t>
      </w:r>
    </w:p>
    <w:p w14:paraId="78E7EF20" w14:textId="77777777" w:rsidR="001953B1" w:rsidRPr="0047667D" w:rsidRDefault="001953B1" w:rsidP="000C1BBC">
      <w:pPr>
        <w:spacing w:line="480" w:lineRule="auto"/>
        <w:ind w:firstLine="720"/>
        <w:jc w:val="both"/>
        <w:rPr>
          <w:b/>
        </w:rPr>
      </w:pPr>
    </w:p>
    <w:p w14:paraId="72C7DEE6" w14:textId="4F522032" w:rsidR="001E60BC" w:rsidRPr="0047667D" w:rsidRDefault="001E60BC" w:rsidP="000C1BBC">
      <w:pPr>
        <w:spacing w:line="480" w:lineRule="auto"/>
        <w:jc w:val="center"/>
        <w:rPr>
          <w:b/>
        </w:rPr>
      </w:pPr>
      <w:r w:rsidRPr="0047667D">
        <w:rPr>
          <w:b/>
        </w:rPr>
        <w:t>Conclusion</w:t>
      </w:r>
    </w:p>
    <w:p w14:paraId="5992BEE3" w14:textId="7F9E8007" w:rsidR="00C93104" w:rsidRPr="005E58F9" w:rsidRDefault="00C93104" w:rsidP="000C1BBC">
      <w:pPr>
        <w:spacing w:line="480" w:lineRule="auto"/>
        <w:ind w:firstLine="720"/>
        <w:jc w:val="both"/>
      </w:pPr>
      <w:r w:rsidRPr="005E58F9">
        <w:t>The findings of this study recapture the role of spiritual freedom</w:t>
      </w:r>
      <w:r>
        <w:t xml:space="preserve"> defined by Pope Francis through education, religious freedom and gender equity</w:t>
      </w:r>
      <w:r w:rsidRPr="005E58F9">
        <w:t xml:space="preserve"> in achieving economic prosperity. </w:t>
      </w:r>
      <w:r>
        <w:t xml:space="preserve">There is indeed a positive correlation between spiritual freedom and GDP per capita. The key driver of this relationship is the </w:t>
      </w:r>
      <w:r w:rsidR="00634C50">
        <w:t>Adult Literacy Rate (ED)</w:t>
      </w:r>
      <w:r>
        <w:t xml:space="preserve">. In fact, the higher the literacy rate, the higher </w:t>
      </w:r>
      <w:r w:rsidR="003E4453">
        <w:t>the GDP</w:t>
      </w:r>
      <w:r>
        <w:t xml:space="preserve"> per capita. But</w:t>
      </w:r>
      <w:r w:rsidR="003E4453">
        <w:t>,</w:t>
      </w:r>
      <w:r>
        <w:t xml:space="preserve"> concerning government restrictions on religion and gender equity measured by the </w:t>
      </w:r>
      <w:r w:rsidR="00634C50">
        <w:t>Health and Survival Index (GE)</w:t>
      </w:r>
      <w:r>
        <w:t xml:space="preserve">, they tend to negatively impact economic prosperity. </w:t>
      </w:r>
    </w:p>
    <w:p w14:paraId="48D6F39E" w14:textId="77777777" w:rsidR="00997193" w:rsidRDefault="00C93104" w:rsidP="000C1BBC">
      <w:pPr>
        <w:spacing w:line="480" w:lineRule="auto"/>
        <w:ind w:firstLine="720"/>
        <w:jc w:val="both"/>
        <w:rPr>
          <w:b/>
        </w:rPr>
      </w:pPr>
      <w:r w:rsidRPr="005E58F9">
        <w:t xml:space="preserve">While </w:t>
      </w:r>
      <w:r>
        <w:t xml:space="preserve">in European </w:t>
      </w:r>
      <w:r w:rsidRPr="005E58F9">
        <w:t>countries</w:t>
      </w:r>
      <w:r w:rsidR="00A071B4">
        <w:t xml:space="preserve"> </w:t>
      </w:r>
      <w:r>
        <w:t xml:space="preserve">spiritual freedom had a negative effect on GDP per capita, with the </w:t>
      </w:r>
      <w:r w:rsidR="00634C50">
        <w:t>Adult Literacy Rate (ED)</w:t>
      </w:r>
      <w:r w:rsidR="003E4453">
        <w:t xml:space="preserve"> and </w:t>
      </w:r>
      <w:r w:rsidR="001953B1">
        <w:t>G</w:t>
      </w:r>
      <w:r w:rsidR="003E4453">
        <w:t xml:space="preserve">overnment </w:t>
      </w:r>
      <w:r w:rsidR="001953B1">
        <w:t>R</w:t>
      </w:r>
      <w:r w:rsidR="003E4453">
        <w:t xml:space="preserve">estrictions </w:t>
      </w:r>
      <w:r w:rsidR="001953B1">
        <w:t>I</w:t>
      </w:r>
      <w:r w:rsidR="003E4453">
        <w:t>ndex</w:t>
      </w:r>
      <w:r w:rsidR="001953B1">
        <w:t xml:space="preserve"> (RE)</w:t>
      </w:r>
      <w:r w:rsidR="003E4453">
        <w:t xml:space="preserve"> showing this negative correlation, in Asian countries and African countries the </w:t>
      </w:r>
      <w:r w:rsidR="00634C50">
        <w:t>Adult Literacy Rate (ED)</w:t>
      </w:r>
      <w:r w:rsidR="003E4453">
        <w:t xml:space="preserve"> positively </w:t>
      </w:r>
      <w:r w:rsidR="003E4453">
        <w:lastRenderedPageBreak/>
        <w:t>impacted it: in the first case gender equity and religious restrictions had smaller effects. African countries share the global trend, adult literacy was positively correlated with GDP per capita but</w:t>
      </w:r>
      <w:r w:rsidR="0001361E">
        <w:t>,</w:t>
      </w:r>
      <w:r w:rsidR="003E4453">
        <w:t xml:space="preserve"> religious freedom and gender equity had negative effects. In American countries, spiritual freedom had a notable positive impact, with </w:t>
      </w:r>
      <w:r w:rsidR="00634C50">
        <w:t>Adult Literacy Rate (ED)</w:t>
      </w:r>
      <w:r w:rsidR="003E4453">
        <w:t xml:space="preserve"> and </w:t>
      </w:r>
      <w:r w:rsidR="001953B1">
        <w:t>Health and Survival Index (GE)</w:t>
      </w:r>
      <w:r w:rsidR="003E4453">
        <w:t xml:space="preserve"> showing positive relationships with economic prosperity.</w:t>
      </w:r>
      <w:r w:rsidR="00615D71">
        <w:t xml:space="preserve"> </w:t>
      </w:r>
    </w:p>
    <w:p w14:paraId="1F02978C" w14:textId="698FB31B" w:rsidR="003E4453" w:rsidRPr="005E58F9" w:rsidRDefault="003E4453" w:rsidP="000C1BBC">
      <w:pPr>
        <w:spacing w:line="480" w:lineRule="auto"/>
        <w:ind w:firstLine="720"/>
        <w:jc w:val="both"/>
      </w:pPr>
      <w:r>
        <w:t>Finally, the study highlights the importance of spiritual freedom in improving economic prosperity, especially in America.</w:t>
      </w:r>
      <w:r w:rsidR="0001361E">
        <w:t xml:space="preserve"> However, the results for the </w:t>
      </w:r>
      <w:r w:rsidR="00634C50">
        <w:t>Health and Survival Index (GE)</w:t>
      </w:r>
      <w:r w:rsidR="0001361E">
        <w:t xml:space="preserve"> were counterintuitive, suggesting the need for further investigation.</w:t>
      </w:r>
    </w:p>
    <w:p w14:paraId="29B3AB18" w14:textId="7E6EF330" w:rsidR="0001361E" w:rsidRDefault="0001361E" w:rsidP="000C1BBC">
      <w:pPr>
        <w:spacing w:line="480" w:lineRule="auto"/>
        <w:ind w:firstLine="720"/>
        <w:jc w:val="both"/>
      </w:pPr>
      <w:r>
        <w:t xml:space="preserve">To go further, </w:t>
      </w:r>
      <w:r w:rsidR="00615D71">
        <w:t>researchers</w:t>
      </w:r>
      <w:r>
        <w:t xml:space="preserve"> could try to capture the dynamic impact of spiritual freedom over time or try to understand the differences observed across regions.</w:t>
      </w:r>
    </w:p>
    <w:p w14:paraId="575563C5" w14:textId="77777777" w:rsidR="0001361E" w:rsidRDefault="0001361E" w:rsidP="00C93104">
      <w:pPr>
        <w:spacing w:line="480" w:lineRule="auto"/>
        <w:jc w:val="both"/>
      </w:pPr>
    </w:p>
    <w:p w14:paraId="2CCF5344" w14:textId="4F46B387" w:rsidR="001E60BC" w:rsidRPr="005E58F9" w:rsidRDefault="001E60BC" w:rsidP="00C93104">
      <w:pPr>
        <w:spacing w:line="480" w:lineRule="auto"/>
        <w:jc w:val="both"/>
      </w:pPr>
    </w:p>
    <w:p w14:paraId="7FD902FD" w14:textId="77777777" w:rsidR="007A31A4" w:rsidRPr="005E58F9" w:rsidRDefault="007A31A4" w:rsidP="00B800B0">
      <w:pPr>
        <w:spacing w:line="480" w:lineRule="auto"/>
      </w:pPr>
      <w:r w:rsidRPr="005E58F9">
        <w:br w:type="page"/>
      </w:r>
    </w:p>
    <w:p w14:paraId="5440596B" w14:textId="10DCC0B1" w:rsidR="00474A48" w:rsidRPr="006A0E8D" w:rsidRDefault="00474A48" w:rsidP="00B800B0">
      <w:pPr>
        <w:spacing w:line="480" w:lineRule="auto"/>
        <w:jc w:val="center"/>
        <w:rPr>
          <w:b/>
        </w:rPr>
      </w:pPr>
      <w:r w:rsidRPr="006A0E8D">
        <w:rPr>
          <w:b/>
        </w:rPr>
        <w:lastRenderedPageBreak/>
        <w:t>References</w:t>
      </w:r>
    </w:p>
    <w:p w14:paraId="43B35262" w14:textId="24EEB06F" w:rsidR="00474A48" w:rsidRPr="005E58F9" w:rsidRDefault="00474A48" w:rsidP="00B800B0">
      <w:pPr>
        <w:pStyle w:val="ListParagraph"/>
        <w:numPr>
          <w:ilvl w:val="0"/>
          <w:numId w:val="4"/>
        </w:numPr>
        <w:spacing w:line="480" w:lineRule="auto"/>
        <w:jc w:val="both"/>
      </w:pPr>
      <w:r w:rsidRPr="005E58F9">
        <w:t xml:space="preserve">Fordham </w:t>
      </w:r>
      <w:r w:rsidR="007A31A4" w:rsidRPr="005E58F9">
        <w:t xml:space="preserve">Pope </w:t>
      </w:r>
      <w:r w:rsidRPr="005E58F9">
        <w:t>Francis Global Poverty Index report 202</w:t>
      </w:r>
      <w:r w:rsidR="007A31A4" w:rsidRPr="005E58F9">
        <w:t>4</w:t>
      </w:r>
    </w:p>
    <w:p w14:paraId="3DB9CE53" w14:textId="327C7564" w:rsidR="007A31A4" w:rsidRPr="005E58F9" w:rsidRDefault="007A31A4" w:rsidP="00B800B0">
      <w:pPr>
        <w:pStyle w:val="ListParagraph"/>
        <w:numPr>
          <w:ilvl w:val="0"/>
          <w:numId w:val="4"/>
        </w:numPr>
        <w:spacing w:line="480" w:lineRule="auto"/>
        <w:jc w:val="both"/>
      </w:pPr>
      <w:r w:rsidRPr="005E58F9">
        <w:t>Fordham Pope Francis Global Poverty Index report 2022</w:t>
      </w:r>
    </w:p>
    <w:p w14:paraId="501853DA" w14:textId="76F3FF80" w:rsidR="00F7121B" w:rsidRPr="005E58F9" w:rsidRDefault="007A31A4" w:rsidP="00B800B0">
      <w:pPr>
        <w:pStyle w:val="ListParagraph"/>
        <w:numPr>
          <w:ilvl w:val="0"/>
          <w:numId w:val="4"/>
        </w:numPr>
        <w:spacing w:line="480" w:lineRule="auto"/>
        <w:jc w:val="both"/>
      </w:pPr>
      <w:r w:rsidRPr="005E58F9">
        <w:t xml:space="preserve">Fluchtmann , J., W. Adema and M. Keese (eds.) (2024), “Gender equality and economic growth: Past progress and future potential”, OECD Social, Employment and Migration Working Papers, No. 304, OECD Publishing, Paris, </w:t>
      </w:r>
      <w:hyperlink r:id="rId8" w:history="1">
        <w:r w:rsidRPr="005E58F9">
          <w:rPr>
            <w:rStyle w:val="Hyperlink"/>
          </w:rPr>
          <w:t>https://doi.org/10.1787/fb0a0a93-en</w:t>
        </w:r>
      </w:hyperlink>
      <w:r w:rsidRPr="005E58F9">
        <w:t>.</w:t>
      </w:r>
    </w:p>
    <w:p w14:paraId="5FBCA077" w14:textId="74757E5B" w:rsidR="007A31A4" w:rsidRPr="005E58F9" w:rsidRDefault="00634C50" w:rsidP="00B800B0">
      <w:pPr>
        <w:pStyle w:val="FootnoteText"/>
        <w:numPr>
          <w:ilvl w:val="0"/>
          <w:numId w:val="4"/>
        </w:numPr>
        <w:spacing w:line="480" w:lineRule="auto"/>
        <w:jc w:val="both"/>
        <w:rPr>
          <w:sz w:val="22"/>
          <w:szCs w:val="22"/>
        </w:rPr>
      </w:pPr>
      <w:r>
        <w:rPr>
          <w:sz w:val="22"/>
          <w:szCs w:val="22"/>
        </w:rPr>
        <w:t>RE</w:t>
      </w:r>
      <w:r w:rsidR="007A31A4" w:rsidRPr="005E58F9">
        <w:rPr>
          <w:sz w:val="22"/>
          <w:szCs w:val="22"/>
        </w:rPr>
        <w:t xml:space="preserve">m, Clark, and Snyder (2014): </w:t>
      </w:r>
      <w:r w:rsidR="007A31A4" w:rsidRPr="005E58F9">
        <w:rPr>
          <w:i/>
          <w:iCs/>
          <w:sz w:val="22"/>
          <w:szCs w:val="22"/>
        </w:rPr>
        <w:t>Is Religious Freedom Good for Business?</w:t>
      </w:r>
      <w:r w:rsidR="007A31A4" w:rsidRPr="005E58F9">
        <w:rPr>
          <w:sz w:val="22"/>
          <w:szCs w:val="22"/>
        </w:rPr>
        <w:t xml:space="preserve"> Interdisciplinary Journal of Research on Religion Vol. 10 (2014), Article 4.</w:t>
      </w:r>
    </w:p>
    <w:p w14:paraId="6264ED90" w14:textId="6322A69E" w:rsidR="007A31A4" w:rsidRPr="005E58F9" w:rsidRDefault="007A31A4" w:rsidP="00B800B0">
      <w:pPr>
        <w:pStyle w:val="FootnoteText"/>
        <w:numPr>
          <w:ilvl w:val="0"/>
          <w:numId w:val="4"/>
        </w:numPr>
        <w:spacing w:line="480" w:lineRule="auto"/>
        <w:jc w:val="both"/>
        <w:rPr>
          <w:sz w:val="22"/>
          <w:szCs w:val="22"/>
        </w:rPr>
      </w:pPr>
      <w:r w:rsidRPr="005E58F9">
        <w:rPr>
          <w:sz w:val="22"/>
          <w:szCs w:val="22"/>
        </w:rPr>
        <w:t>Fox, J.</w:t>
      </w:r>
      <w:r w:rsidR="0045097B">
        <w:rPr>
          <w:sz w:val="22"/>
          <w:szCs w:val="22"/>
        </w:rPr>
        <w:t xml:space="preserve"> </w:t>
      </w:r>
      <w:r w:rsidR="004B2B21" w:rsidRPr="005E58F9">
        <w:rPr>
          <w:sz w:val="22"/>
          <w:szCs w:val="22"/>
        </w:rPr>
        <w:t>(2021)</w:t>
      </w:r>
      <w:r w:rsidRPr="005E58F9">
        <w:rPr>
          <w:sz w:val="22"/>
          <w:szCs w:val="22"/>
        </w:rPr>
        <w:t xml:space="preserve"> </w:t>
      </w:r>
      <w:r w:rsidRPr="005E58F9">
        <w:rPr>
          <w:i/>
          <w:iCs/>
          <w:sz w:val="22"/>
          <w:szCs w:val="22"/>
        </w:rPr>
        <w:t>What is religious freedom and who has it?</w:t>
      </w:r>
      <w:r w:rsidRPr="005E58F9">
        <w:rPr>
          <w:sz w:val="22"/>
          <w:szCs w:val="22"/>
        </w:rPr>
        <w:t xml:space="preserve"> Social Compass, 68(3), 321-341. https://doi.org/10.1177/00377686211012368.</w:t>
      </w:r>
    </w:p>
    <w:p w14:paraId="54FAA293" w14:textId="26B7E564" w:rsidR="007A31A4" w:rsidRPr="005E58F9" w:rsidRDefault="007A31A4" w:rsidP="00B800B0">
      <w:pPr>
        <w:pStyle w:val="FootnoteText"/>
        <w:numPr>
          <w:ilvl w:val="0"/>
          <w:numId w:val="4"/>
        </w:numPr>
        <w:spacing w:line="480" w:lineRule="auto"/>
        <w:jc w:val="both"/>
        <w:rPr>
          <w:sz w:val="22"/>
          <w:szCs w:val="22"/>
        </w:rPr>
      </w:pPr>
      <w:r w:rsidRPr="005E58F9">
        <w:rPr>
          <w:sz w:val="22"/>
          <w:szCs w:val="22"/>
        </w:rPr>
        <w:t>Gill A</w:t>
      </w:r>
      <w:r w:rsidR="004B2B21" w:rsidRPr="005E58F9">
        <w:rPr>
          <w:sz w:val="22"/>
          <w:szCs w:val="22"/>
        </w:rPr>
        <w:t xml:space="preserve"> (2008)</w:t>
      </w:r>
      <w:r w:rsidRPr="005E58F9">
        <w:rPr>
          <w:sz w:val="22"/>
          <w:szCs w:val="22"/>
        </w:rPr>
        <w:t>, </w:t>
      </w:r>
      <w:r w:rsidRPr="005E58F9">
        <w:rPr>
          <w:i/>
          <w:iCs/>
          <w:sz w:val="22"/>
          <w:szCs w:val="22"/>
        </w:rPr>
        <w:t>The political origins of religious liberty</w:t>
      </w:r>
      <w:r w:rsidRPr="005E58F9">
        <w:rPr>
          <w:sz w:val="22"/>
          <w:szCs w:val="22"/>
        </w:rPr>
        <w:t>. New York: Cambridge University Press. 2008.</w:t>
      </w:r>
    </w:p>
    <w:p w14:paraId="2E3BC582" w14:textId="443018F3" w:rsidR="007A31A4" w:rsidRPr="005E58F9" w:rsidRDefault="007A31A4" w:rsidP="00B800B0">
      <w:pPr>
        <w:pStyle w:val="FootnoteText"/>
        <w:numPr>
          <w:ilvl w:val="0"/>
          <w:numId w:val="4"/>
        </w:numPr>
        <w:spacing w:line="480" w:lineRule="auto"/>
        <w:jc w:val="both"/>
        <w:rPr>
          <w:sz w:val="22"/>
          <w:szCs w:val="22"/>
        </w:rPr>
      </w:pPr>
      <w:r w:rsidRPr="005E58F9">
        <w:rPr>
          <w:sz w:val="22"/>
          <w:szCs w:val="22"/>
        </w:rPr>
        <w:t xml:space="preserve">Grant C. (2017), </w:t>
      </w:r>
      <w:r w:rsidRPr="005E58F9">
        <w:rPr>
          <w:i/>
          <w:iCs/>
          <w:sz w:val="22"/>
          <w:szCs w:val="22"/>
        </w:rPr>
        <w:t>The contribution of education to economic growth</w:t>
      </w:r>
      <w:r w:rsidRPr="005E58F9">
        <w:rPr>
          <w:sz w:val="22"/>
          <w:szCs w:val="22"/>
        </w:rPr>
        <w:t>.  K4D Helpdesk Report. Brighton, UK: Institute of Development Studies.</w:t>
      </w:r>
    </w:p>
    <w:p w14:paraId="4614D97A" w14:textId="435ED78F" w:rsidR="007A31A4" w:rsidRPr="005E58F9" w:rsidRDefault="007A31A4" w:rsidP="00B800B0">
      <w:pPr>
        <w:pStyle w:val="FootnoteText"/>
        <w:numPr>
          <w:ilvl w:val="0"/>
          <w:numId w:val="4"/>
        </w:numPr>
        <w:spacing w:line="480" w:lineRule="auto"/>
        <w:jc w:val="both"/>
        <w:rPr>
          <w:sz w:val="22"/>
          <w:szCs w:val="22"/>
        </w:rPr>
      </w:pPr>
      <w:r w:rsidRPr="005E58F9">
        <w:rPr>
          <w:sz w:val="22"/>
          <w:szCs w:val="22"/>
        </w:rPr>
        <w:t>Power and al</w:t>
      </w:r>
      <w:r w:rsidR="0045097B">
        <w:rPr>
          <w:sz w:val="22"/>
          <w:szCs w:val="22"/>
        </w:rPr>
        <w:t>.</w:t>
      </w:r>
      <w:r w:rsidRPr="005E58F9">
        <w:rPr>
          <w:sz w:val="22"/>
          <w:szCs w:val="22"/>
        </w:rPr>
        <w:t xml:space="preserve"> (2015), </w:t>
      </w:r>
      <w:r w:rsidRPr="005E58F9">
        <w:rPr>
          <w:i/>
          <w:iCs/>
          <w:sz w:val="22"/>
          <w:szCs w:val="22"/>
        </w:rPr>
        <w:t>Building Capacity in Higher Education</w:t>
      </w:r>
      <w:r w:rsidRPr="005E58F9">
        <w:rPr>
          <w:sz w:val="22"/>
          <w:szCs w:val="22"/>
        </w:rPr>
        <w:t xml:space="preserve"> Topic Guide, HEART</w:t>
      </w:r>
    </w:p>
    <w:p w14:paraId="38C1E6DD" w14:textId="15D2263B" w:rsidR="007A31A4" w:rsidRPr="005E58F9" w:rsidRDefault="007A31A4" w:rsidP="00B800B0">
      <w:pPr>
        <w:pStyle w:val="ListParagraph"/>
        <w:numPr>
          <w:ilvl w:val="0"/>
          <w:numId w:val="4"/>
        </w:numPr>
        <w:spacing w:line="480" w:lineRule="auto"/>
        <w:jc w:val="both"/>
      </w:pPr>
      <w:r w:rsidRPr="005E58F9">
        <w:t>UNESCO</w:t>
      </w:r>
      <w:r w:rsidR="004B2B21" w:rsidRPr="005E58F9">
        <w:t xml:space="preserve"> (2010)</w:t>
      </w:r>
      <w:r w:rsidRPr="005E58F9">
        <w:t xml:space="preserve"> </w:t>
      </w:r>
      <w:r w:rsidRPr="005E58F9">
        <w:rPr>
          <w:i/>
          <w:iCs/>
        </w:rPr>
        <w:t>The Central Role of Education in the Millennium Development Goals</w:t>
      </w:r>
      <w:r w:rsidRPr="005E58F9">
        <w:t>, MDG Summit High-Level Round Table, 22/09/2010, United Nations, New York Secondary education</w:t>
      </w:r>
      <w:r w:rsidR="004B2B21" w:rsidRPr="005E58F9">
        <w:t>.</w:t>
      </w:r>
    </w:p>
    <w:p w14:paraId="313FFF15" w14:textId="27C57777" w:rsidR="007A31A4" w:rsidRPr="005E58F9" w:rsidRDefault="007A31A4" w:rsidP="00B800B0">
      <w:pPr>
        <w:pStyle w:val="FootnoteText"/>
        <w:numPr>
          <w:ilvl w:val="0"/>
          <w:numId w:val="4"/>
        </w:numPr>
        <w:spacing w:line="480" w:lineRule="auto"/>
        <w:jc w:val="both"/>
        <w:rPr>
          <w:sz w:val="22"/>
          <w:szCs w:val="22"/>
        </w:rPr>
      </w:pPr>
      <w:r w:rsidRPr="005E58F9">
        <w:rPr>
          <w:sz w:val="22"/>
          <w:szCs w:val="22"/>
        </w:rPr>
        <w:t>Paul A. Marshall</w:t>
      </w:r>
      <w:r w:rsidR="004B2B21" w:rsidRPr="005E58F9">
        <w:rPr>
          <w:sz w:val="22"/>
          <w:szCs w:val="22"/>
        </w:rPr>
        <w:t xml:space="preserve"> (2008)</w:t>
      </w:r>
      <w:r w:rsidRPr="005E58F9">
        <w:rPr>
          <w:sz w:val="22"/>
          <w:szCs w:val="22"/>
        </w:rPr>
        <w:t xml:space="preserve">, </w:t>
      </w:r>
      <w:r w:rsidRPr="005E58F9">
        <w:rPr>
          <w:i/>
          <w:iCs/>
          <w:sz w:val="22"/>
          <w:szCs w:val="22"/>
        </w:rPr>
        <w:t>Religious freedom in the World</w:t>
      </w:r>
      <w:r w:rsidRPr="005E58F9">
        <w:rPr>
          <w:sz w:val="22"/>
          <w:szCs w:val="22"/>
        </w:rPr>
        <w:t xml:space="preserve">, Rowman &amp; Littlefield Publishers, Inc. </w:t>
      </w:r>
    </w:p>
    <w:p w14:paraId="7F29931B" w14:textId="4F2897D8" w:rsidR="007A31A4" w:rsidRPr="005E58F9" w:rsidRDefault="007A31A4" w:rsidP="00B800B0">
      <w:pPr>
        <w:pStyle w:val="FootnoteText"/>
        <w:numPr>
          <w:ilvl w:val="0"/>
          <w:numId w:val="4"/>
        </w:numPr>
        <w:spacing w:line="480" w:lineRule="auto"/>
        <w:jc w:val="both"/>
        <w:rPr>
          <w:sz w:val="22"/>
          <w:szCs w:val="22"/>
        </w:rPr>
      </w:pPr>
      <w:r w:rsidRPr="005E58F9">
        <w:rPr>
          <w:sz w:val="22"/>
          <w:szCs w:val="22"/>
        </w:rPr>
        <w:t>David Boaz</w:t>
      </w:r>
      <w:r w:rsidR="004B2B21" w:rsidRPr="005E58F9">
        <w:rPr>
          <w:sz w:val="22"/>
          <w:szCs w:val="22"/>
        </w:rPr>
        <w:t xml:space="preserve"> (2015)</w:t>
      </w:r>
      <w:r w:rsidRPr="005E58F9">
        <w:rPr>
          <w:sz w:val="22"/>
          <w:szCs w:val="22"/>
        </w:rPr>
        <w:t xml:space="preserve">, </w:t>
      </w:r>
      <w:r w:rsidRPr="005E58F9">
        <w:rPr>
          <w:i/>
          <w:iCs/>
          <w:sz w:val="22"/>
          <w:szCs w:val="22"/>
        </w:rPr>
        <w:t>The Libertarian Mind</w:t>
      </w:r>
      <w:r w:rsidRPr="005E58F9">
        <w:rPr>
          <w:sz w:val="22"/>
          <w:szCs w:val="22"/>
        </w:rPr>
        <w:t>, (New York: Simon &amp; Shuster),</w:t>
      </w:r>
    </w:p>
    <w:p w14:paraId="0BDCD0B9" w14:textId="11B04F65" w:rsidR="007A31A4" w:rsidRPr="005E58F9" w:rsidRDefault="007A31A4" w:rsidP="00B800B0">
      <w:pPr>
        <w:pStyle w:val="ListParagraph"/>
        <w:numPr>
          <w:ilvl w:val="0"/>
          <w:numId w:val="4"/>
        </w:numPr>
        <w:spacing w:line="480" w:lineRule="auto"/>
        <w:jc w:val="both"/>
      </w:pPr>
      <w:r w:rsidRPr="005E58F9">
        <w:t>John F. Early</w:t>
      </w:r>
      <w:r w:rsidR="004B2B21" w:rsidRPr="005E58F9">
        <w:t xml:space="preserve"> (2023)</w:t>
      </w:r>
      <w:r w:rsidRPr="005E58F9">
        <w:t xml:space="preserve">, </w:t>
      </w:r>
      <w:r w:rsidRPr="005E58F9">
        <w:rPr>
          <w:i/>
        </w:rPr>
        <w:t>Measurable Relationships Between Freedom and Prosperity and the Consequences for the Washington Consensus and New Economic Paradigm</w:t>
      </w:r>
      <w:r w:rsidRPr="005E58F9">
        <w:t xml:space="preserve"> Cato working paper, </w:t>
      </w:r>
    </w:p>
    <w:p w14:paraId="28BA2BC6" w14:textId="77777777" w:rsidR="001E60BC" w:rsidRPr="005E58F9" w:rsidRDefault="001E60BC" w:rsidP="00B800B0">
      <w:pPr>
        <w:spacing w:line="480" w:lineRule="auto"/>
        <w:jc w:val="both"/>
      </w:pPr>
    </w:p>
    <w:p w14:paraId="092E1D21" w14:textId="77777777" w:rsidR="001E60BC" w:rsidRPr="005E58F9" w:rsidRDefault="001E60BC" w:rsidP="00B800B0">
      <w:pPr>
        <w:spacing w:line="480" w:lineRule="auto"/>
        <w:jc w:val="both"/>
      </w:pPr>
    </w:p>
    <w:p w14:paraId="76A4CE6C" w14:textId="77777777" w:rsidR="00CF21F9" w:rsidRPr="005E58F9" w:rsidRDefault="00CF21F9" w:rsidP="00CF21F9">
      <w:pPr>
        <w:spacing w:line="480" w:lineRule="auto"/>
        <w:jc w:val="both"/>
      </w:pPr>
      <w:r w:rsidRPr="002929EA">
        <w:rPr>
          <w:b/>
        </w:rPr>
        <w:t>Table 1</w:t>
      </w:r>
      <w:r w:rsidRPr="005E58F9">
        <w:t>: The effects of spiritual freedom on economic prosperity (cross-sectional data, linear estimation model)</w:t>
      </w:r>
    </w:p>
    <w:p w14:paraId="2B9005AA" w14:textId="77777777" w:rsidR="00CF21F9" w:rsidRPr="005E58F9" w:rsidRDefault="00CF21F9" w:rsidP="00CF21F9">
      <w:pPr>
        <w:spacing w:line="480" w:lineRule="auto"/>
        <w:jc w:val="center"/>
        <w:rPr>
          <w:color w:val="FF0000"/>
        </w:rPr>
      </w:pPr>
      <w:r w:rsidRPr="005E58F9">
        <w:rPr>
          <w:noProof/>
          <w:color w:val="FF0000"/>
        </w:rPr>
        <w:drawing>
          <wp:inline distT="0" distB="0" distL="0" distR="0" wp14:anchorId="7E43B525" wp14:editId="06895677">
            <wp:extent cx="4553300" cy="1781430"/>
            <wp:effectExtent l="0" t="0" r="0" b="9525"/>
            <wp:docPr id="205571127"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127" name="Picture 1" descr="A table with numbers and letters&#10;&#10;Description automatically generated"/>
                    <pic:cNvPicPr/>
                  </pic:nvPicPr>
                  <pic:blipFill>
                    <a:blip r:embed="rId9"/>
                    <a:stretch>
                      <a:fillRect/>
                    </a:stretch>
                  </pic:blipFill>
                  <pic:spPr>
                    <a:xfrm>
                      <a:off x="0" y="0"/>
                      <a:ext cx="4575535" cy="1790129"/>
                    </a:xfrm>
                    <a:prstGeom prst="rect">
                      <a:avLst/>
                    </a:prstGeom>
                  </pic:spPr>
                </pic:pic>
              </a:graphicData>
            </a:graphic>
          </wp:inline>
        </w:drawing>
      </w:r>
    </w:p>
    <w:p w14:paraId="4F360B1F" w14:textId="77777777" w:rsidR="00CF21F9" w:rsidRDefault="00CF21F9" w:rsidP="00CF21F9">
      <w:pPr>
        <w:spacing w:line="480" w:lineRule="auto"/>
        <w:jc w:val="center"/>
      </w:pPr>
      <w:r w:rsidRPr="005E58F9">
        <w:t>Source: Author’s estimates.</w:t>
      </w:r>
    </w:p>
    <w:p w14:paraId="7E491A25" w14:textId="77777777" w:rsidR="00CF21F9" w:rsidRPr="005E58F9" w:rsidRDefault="00CF21F9" w:rsidP="00CF21F9">
      <w:pPr>
        <w:spacing w:line="480" w:lineRule="auto"/>
        <w:jc w:val="center"/>
      </w:pPr>
    </w:p>
    <w:p w14:paraId="67557F39" w14:textId="77777777" w:rsidR="00CF21F9" w:rsidRPr="005E58F9" w:rsidRDefault="00CF21F9" w:rsidP="00CF21F9">
      <w:pPr>
        <w:spacing w:line="480" w:lineRule="auto"/>
        <w:jc w:val="center"/>
      </w:pPr>
      <w:r w:rsidRPr="002929EA">
        <w:rPr>
          <w:b/>
        </w:rPr>
        <w:t>Table 2</w:t>
      </w:r>
      <w:r w:rsidRPr="005E58F9">
        <w:t>: The effects of spiritual freedom on economic prosperity (continued)</w:t>
      </w:r>
    </w:p>
    <w:p w14:paraId="55FE9B2D" w14:textId="77777777" w:rsidR="00CF21F9" w:rsidRPr="005E58F9" w:rsidRDefault="00CF21F9" w:rsidP="00CF21F9">
      <w:pPr>
        <w:spacing w:line="480" w:lineRule="auto"/>
        <w:jc w:val="center"/>
      </w:pPr>
      <w:r w:rsidRPr="005E58F9">
        <w:rPr>
          <w:noProof/>
        </w:rPr>
        <w:drawing>
          <wp:inline distT="0" distB="0" distL="0" distR="0" wp14:anchorId="5DC6B6D2" wp14:editId="2B607AD8">
            <wp:extent cx="2851438" cy="851647"/>
            <wp:effectExtent l="0" t="0" r="6350" b="5715"/>
            <wp:docPr id="636549805" name="Picture 1" descr="A white gri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49805" name="Picture 1" descr="A white grid with black numbers&#10;&#10;Description automatically generated"/>
                    <pic:cNvPicPr/>
                  </pic:nvPicPr>
                  <pic:blipFill>
                    <a:blip r:embed="rId10"/>
                    <a:stretch>
                      <a:fillRect/>
                    </a:stretch>
                  </pic:blipFill>
                  <pic:spPr>
                    <a:xfrm>
                      <a:off x="0" y="0"/>
                      <a:ext cx="2868844" cy="856846"/>
                    </a:xfrm>
                    <a:prstGeom prst="rect">
                      <a:avLst/>
                    </a:prstGeom>
                  </pic:spPr>
                </pic:pic>
              </a:graphicData>
            </a:graphic>
          </wp:inline>
        </w:drawing>
      </w:r>
    </w:p>
    <w:p w14:paraId="2393F5A6" w14:textId="77777777" w:rsidR="00CF21F9" w:rsidRDefault="00CF21F9" w:rsidP="00CF21F9">
      <w:pPr>
        <w:spacing w:line="480" w:lineRule="auto"/>
        <w:jc w:val="center"/>
      </w:pPr>
      <w:r w:rsidRPr="005E58F9">
        <w:t>Source: Author’s estimates.</w:t>
      </w:r>
    </w:p>
    <w:p w14:paraId="37A56E7B" w14:textId="77777777" w:rsidR="00CF21F9" w:rsidRPr="005E58F9" w:rsidRDefault="00CF21F9" w:rsidP="00CF21F9">
      <w:pPr>
        <w:spacing w:line="480" w:lineRule="auto"/>
        <w:jc w:val="center"/>
      </w:pPr>
    </w:p>
    <w:p w14:paraId="7F5B8B71" w14:textId="77777777" w:rsidR="00CF21F9" w:rsidRDefault="00CF21F9">
      <w:pPr>
        <w:spacing w:after="160" w:line="259" w:lineRule="auto"/>
        <w:rPr>
          <w:b/>
        </w:rPr>
      </w:pPr>
      <w:r>
        <w:rPr>
          <w:b/>
        </w:rPr>
        <w:br w:type="page"/>
      </w:r>
    </w:p>
    <w:p w14:paraId="0B493326" w14:textId="608C3F0C" w:rsidR="00F2292E" w:rsidRDefault="00C7789B" w:rsidP="00F2292E">
      <w:pPr>
        <w:spacing w:line="480" w:lineRule="auto"/>
        <w:jc w:val="center"/>
        <w:rPr>
          <w:b/>
        </w:rPr>
      </w:pPr>
      <w:r w:rsidRPr="006A0E8D">
        <w:rPr>
          <w:b/>
        </w:rPr>
        <w:lastRenderedPageBreak/>
        <w:t xml:space="preserve">Appendix 1 </w:t>
      </w:r>
      <w:r w:rsidR="006A0E8D">
        <w:rPr>
          <w:b/>
        </w:rPr>
        <w:t xml:space="preserve">: </w:t>
      </w:r>
      <w:r w:rsidRPr="006A0E8D">
        <w:rPr>
          <w:b/>
        </w:rPr>
        <w:t>Descriptive statistics of spiritual freedom variables and LogGDP per capita</w:t>
      </w:r>
    </w:p>
    <w:p w14:paraId="01388251" w14:textId="77777777" w:rsidR="00F2292E" w:rsidRDefault="00F2292E" w:rsidP="00F2292E">
      <w:pPr>
        <w:spacing w:line="480" w:lineRule="auto"/>
        <w:jc w:val="center"/>
      </w:pPr>
      <w:r>
        <w:rPr>
          <w:noProof/>
        </w:rPr>
        <w:drawing>
          <wp:inline distT="0" distB="0" distL="0" distR="0" wp14:anchorId="208B1054" wp14:editId="11FE3711">
            <wp:extent cx="4714875" cy="1257300"/>
            <wp:effectExtent l="0" t="0" r="9525" b="0"/>
            <wp:docPr id="1660366023"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6023" name="Picture 1" descr="A table with numbers and symbols&#10;&#10;Description automatically generated"/>
                    <pic:cNvPicPr/>
                  </pic:nvPicPr>
                  <pic:blipFill>
                    <a:blip r:embed="rId11"/>
                    <a:stretch>
                      <a:fillRect/>
                    </a:stretch>
                  </pic:blipFill>
                  <pic:spPr>
                    <a:xfrm>
                      <a:off x="0" y="0"/>
                      <a:ext cx="4714875" cy="1257300"/>
                    </a:xfrm>
                    <a:prstGeom prst="rect">
                      <a:avLst/>
                    </a:prstGeom>
                  </pic:spPr>
                </pic:pic>
              </a:graphicData>
            </a:graphic>
          </wp:inline>
        </w:drawing>
      </w:r>
    </w:p>
    <w:p w14:paraId="50C10387" w14:textId="77777777" w:rsidR="00F2292E" w:rsidRDefault="00F2292E" w:rsidP="00F2292E">
      <w:pPr>
        <w:spacing w:line="480" w:lineRule="auto"/>
        <w:jc w:val="center"/>
      </w:pPr>
    </w:p>
    <w:p w14:paraId="55FDDA6B" w14:textId="6FEC2129" w:rsidR="00C7789B" w:rsidRDefault="00C7789B" w:rsidP="00F2292E">
      <w:pPr>
        <w:spacing w:line="480" w:lineRule="auto"/>
        <w:jc w:val="center"/>
        <w:rPr>
          <w:b/>
        </w:rPr>
      </w:pPr>
      <w:r w:rsidRPr="008A4F10">
        <w:rPr>
          <w:b/>
        </w:rPr>
        <w:t>Appendix 2</w:t>
      </w:r>
      <w:r w:rsidR="008A4F10">
        <w:rPr>
          <w:b/>
        </w:rPr>
        <w:t>:</w:t>
      </w:r>
      <w:r w:rsidRPr="008A4F10">
        <w:rPr>
          <w:b/>
        </w:rPr>
        <w:t xml:space="preserve"> Correlation matrix</w:t>
      </w:r>
    </w:p>
    <w:p w14:paraId="7DCF5523" w14:textId="7ABCA5FB" w:rsidR="00F2292E" w:rsidRDefault="00F2292E" w:rsidP="00F2292E">
      <w:pPr>
        <w:spacing w:line="480" w:lineRule="auto"/>
        <w:jc w:val="center"/>
        <w:rPr>
          <w:b/>
        </w:rPr>
      </w:pPr>
      <w:r>
        <w:rPr>
          <w:noProof/>
        </w:rPr>
        <w:drawing>
          <wp:inline distT="0" distB="0" distL="0" distR="0" wp14:anchorId="3238797B" wp14:editId="5BB707EA">
            <wp:extent cx="3819525" cy="3133725"/>
            <wp:effectExtent l="0" t="0" r="9525" b="9525"/>
            <wp:docPr id="44231156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11561" name="Picture 1" descr="A table with numbers and letters&#10;&#10;Description automatically generated"/>
                    <pic:cNvPicPr/>
                  </pic:nvPicPr>
                  <pic:blipFill>
                    <a:blip r:embed="rId12"/>
                    <a:stretch>
                      <a:fillRect/>
                    </a:stretch>
                  </pic:blipFill>
                  <pic:spPr>
                    <a:xfrm>
                      <a:off x="0" y="0"/>
                      <a:ext cx="3819525" cy="3133725"/>
                    </a:xfrm>
                    <a:prstGeom prst="rect">
                      <a:avLst/>
                    </a:prstGeom>
                  </pic:spPr>
                </pic:pic>
              </a:graphicData>
            </a:graphic>
          </wp:inline>
        </w:drawing>
      </w:r>
    </w:p>
    <w:p w14:paraId="02D09012" w14:textId="77777777" w:rsidR="00F2292E" w:rsidRDefault="00F2292E" w:rsidP="00F2292E">
      <w:pPr>
        <w:spacing w:line="480" w:lineRule="auto"/>
        <w:jc w:val="center"/>
        <w:rPr>
          <w:b/>
        </w:rPr>
      </w:pPr>
    </w:p>
    <w:p w14:paraId="593684FD" w14:textId="77777777" w:rsidR="00F2292E" w:rsidRPr="008A4F10" w:rsidRDefault="00F2292E" w:rsidP="00F2292E">
      <w:pPr>
        <w:spacing w:line="480" w:lineRule="auto"/>
        <w:jc w:val="center"/>
        <w:rPr>
          <w:b/>
        </w:rPr>
      </w:pPr>
    </w:p>
    <w:p w14:paraId="1D29C7FF" w14:textId="77777777" w:rsidR="00653917" w:rsidRDefault="00653917" w:rsidP="00B800B0">
      <w:pPr>
        <w:spacing w:line="480" w:lineRule="auto"/>
        <w:jc w:val="both"/>
      </w:pPr>
    </w:p>
    <w:p w14:paraId="20EAF1F7" w14:textId="77777777" w:rsidR="00F2292E" w:rsidRDefault="00F2292E" w:rsidP="00B800B0">
      <w:pPr>
        <w:spacing w:line="480" w:lineRule="auto"/>
        <w:jc w:val="both"/>
      </w:pPr>
    </w:p>
    <w:p w14:paraId="2EC76FDA" w14:textId="77777777" w:rsidR="007562B6" w:rsidRDefault="007562B6" w:rsidP="00B800B0">
      <w:pPr>
        <w:spacing w:line="480" w:lineRule="auto"/>
        <w:jc w:val="both"/>
      </w:pPr>
    </w:p>
    <w:p w14:paraId="7BF1318C" w14:textId="77777777" w:rsidR="00F2292E" w:rsidRDefault="00F2292E" w:rsidP="00B800B0">
      <w:pPr>
        <w:spacing w:line="480" w:lineRule="auto"/>
        <w:jc w:val="both"/>
      </w:pPr>
    </w:p>
    <w:p w14:paraId="74776481" w14:textId="750DFD8E" w:rsidR="00F2292E" w:rsidRDefault="00F2292E" w:rsidP="00F2292E">
      <w:pPr>
        <w:spacing w:line="480" w:lineRule="auto"/>
        <w:jc w:val="center"/>
        <w:rPr>
          <w:b/>
        </w:rPr>
      </w:pPr>
      <w:r w:rsidRPr="008A4F10">
        <w:rPr>
          <w:b/>
        </w:rPr>
        <w:lastRenderedPageBreak/>
        <w:t xml:space="preserve">Appendix </w:t>
      </w:r>
      <w:r>
        <w:rPr>
          <w:b/>
        </w:rPr>
        <w:t>3:</w:t>
      </w:r>
      <w:r w:rsidRPr="008A4F10">
        <w:rPr>
          <w:b/>
        </w:rPr>
        <w:t xml:space="preserve"> </w:t>
      </w:r>
      <w:r>
        <w:rPr>
          <w:b/>
        </w:rPr>
        <w:t xml:space="preserve">Regression procedure global model (without parameter estimates </w:t>
      </w:r>
      <w:r w:rsidR="00181FC3">
        <w:rPr>
          <w:b/>
        </w:rPr>
        <w:t>alr</w:t>
      </w:r>
      <w:r>
        <w:rPr>
          <w:b/>
        </w:rPr>
        <w:t>eady in the text of the article)</w:t>
      </w:r>
    </w:p>
    <w:p w14:paraId="0BC01FF5" w14:textId="6E90AB07" w:rsidR="001B0694" w:rsidRDefault="00F2292E" w:rsidP="00F2292E">
      <w:pPr>
        <w:spacing w:line="480" w:lineRule="auto"/>
        <w:jc w:val="center"/>
        <w:rPr>
          <w:noProof/>
        </w:rPr>
      </w:pPr>
      <w:r>
        <w:rPr>
          <w:noProof/>
        </w:rPr>
        <w:drawing>
          <wp:inline distT="0" distB="0" distL="0" distR="0" wp14:anchorId="6D7E05C4" wp14:editId="7B07D51C">
            <wp:extent cx="4874150" cy="4022090"/>
            <wp:effectExtent l="0" t="0" r="3175" b="0"/>
            <wp:docPr id="18239740" name="Picture 1" descr="A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40" name="Picture 1" descr="A diagram of a function&#10;&#10;Description automatically generated with medium confidence"/>
                    <pic:cNvPicPr/>
                  </pic:nvPicPr>
                  <pic:blipFill>
                    <a:blip r:embed="rId13"/>
                    <a:stretch>
                      <a:fillRect/>
                    </a:stretch>
                  </pic:blipFill>
                  <pic:spPr>
                    <a:xfrm>
                      <a:off x="0" y="0"/>
                      <a:ext cx="4893408" cy="4037982"/>
                    </a:xfrm>
                    <a:prstGeom prst="rect">
                      <a:avLst/>
                    </a:prstGeom>
                  </pic:spPr>
                </pic:pic>
              </a:graphicData>
            </a:graphic>
          </wp:inline>
        </w:drawing>
      </w:r>
      <w:r w:rsidRPr="00F2292E">
        <w:rPr>
          <w:noProof/>
        </w:rPr>
        <w:t xml:space="preserve"> </w:t>
      </w:r>
      <w:r>
        <w:rPr>
          <w:noProof/>
        </w:rPr>
        <w:drawing>
          <wp:inline distT="0" distB="0" distL="0" distR="0" wp14:anchorId="7D1BDB88" wp14:editId="66E441D3">
            <wp:extent cx="4126842" cy="2997641"/>
            <wp:effectExtent l="0" t="0" r="7620" b="0"/>
            <wp:docPr id="2020536943" name="Picture 1" descr="A graph of res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6943" name="Picture 1" descr="A graph of residuals&#10;&#10;Description automatically generated"/>
                    <pic:cNvPicPr/>
                  </pic:nvPicPr>
                  <pic:blipFill>
                    <a:blip r:embed="rId14"/>
                    <a:stretch>
                      <a:fillRect/>
                    </a:stretch>
                  </pic:blipFill>
                  <pic:spPr>
                    <a:xfrm>
                      <a:off x="0" y="0"/>
                      <a:ext cx="4163190" cy="3024044"/>
                    </a:xfrm>
                    <a:prstGeom prst="rect">
                      <a:avLst/>
                    </a:prstGeom>
                  </pic:spPr>
                </pic:pic>
              </a:graphicData>
            </a:graphic>
          </wp:inline>
        </w:drawing>
      </w:r>
    </w:p>
    <w:p w14:paraId="3EFE0EF9" w14:textId="19945203" w:rsidR="001B0694" w:rsidRDefault="001B0694">
      <w:pPr>
        <w:rPr>
          <w:b/>
        </w:rPr>
      </w:pPr>
      <w:r>
        <w:rPr>
          <w:noProof/>
        </w:rPr>
        <w:br w:type="page"/>
      </w:r>
      <w:r w:rsidRPr="008A4F10">
        <w:rPr>
          <w:b/>
        </w:rPr>
        <w:lastRenderedPageBreak/>
        <w:t xml:space="preserve">Appendix </w:t>
      </w:r>
      <w:r>
        <w:rPr>
          <w:b/>
        </w:rPr>
        <w:t>4:</w:t>
      </w:r>
      <w:r w:rsidRPr="008A4F10">
        <w:rPr>
          <w:b/>
        </w:rPr>
        <w:t xml:space="preserve"> </w:t>
      </w:r>
      <w:r>
        <w:rPr>
          <w:b/>
        </w:rPr>
        <w:t>Regression procedure with only European countries</w:t>
      </w:r>
    </w:p>
    <w:p w14:paraId="6EB99B34" w14:textId="77777777" w:rsidR="002F6FBB" w:rsidRDefault="002F6FBB">
      <w:pPr>
        <w:rPr>
          <w:b/>
        </w:rPr>
      </w:pPr>
    </w:p>
    <w:p w14:paraId="1FA45921" w14:textId="77777777" w:rsidR="002F6FBB" w:rsidRDefault="002F6FBB">
      <w:pPr>
        <w:rPr>
          <w:b/>
        </w:rPr>
      </w:pPr>
    </w:p>
    <w:p w14:paraId="03E53D00" w14:textId="5DBA3FDC" w:rsidR="001B0694" w:rsidRDefault="002F6FBB">
      <w:pPr>
        <w:rPr>
          <w:b/>
        </w:rPr>
      </w:pPr>
      <w:r>
        <w:rPr>
          <w:noProof/>
        </w:rPr>
        <w:drawing>
          <wp:inline distT="0" distB="0" distL="0" distR="0" wp14:anchorId="4D30B6B5" wp14:editId="49F35733">
            <wp:extent cx="4686300" cy="5353050"/>
            <wp:effectExtent l="0" t="0" r="0" b="0"/>
            <wp:docPr id="849439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39529" name="Picture 1" descr="A screenshot of a computer&#10;&#10;Description automatically generated"/>
                    <pic:cNvPicPr/>
                  </pic:nvPicPr>
                  <pic:blipFill>
                    <a:blip r:embed="rId15"/>
                    <a:stretch>
                      <a:fillRect/>
                    </a:stretch>
                  </pic:blipFill>
                  <pic:spPr>
                    <a:xfrm>
                      <a:off x="0" y="0"/>
                      <a:ext cx="4686300" cy="5353050"/>
                    </a:xfrm>
                    <a:prstGeom prst="rect">
                      <a:avLst/>
                    </a:prstGeom>
                  </pic:spPr>
                </pic:pic>
              </a:graphicData>
            </a:graphic>
          </wp:inline>
        </w:drawing>
      </w:r>
    </w:p>
    <w:p w14:paraId="25B8A267" w14:textId="77777777" w:rsidR="002F6FBB" w:rsidRDefault="002F6FBB">
      <w:pPr>
        <w:rPr>
          <w:b/>
        </w:rPr>
      </w:pPr>
      <w:r>
        <w:rPr>
          <w:b/>
        </w:rPr>
        <w:br w:type="page"/>
      </w:r>
    </w:p>
    <w:p w14:paraId="1F881AB0" w14:textId="7EFC077F" w:rsidR="001B0694" w:rsidRDefault="001B0694">
      <w:pPr>
        <w:rPr>
          <w:b/>
        </w:rPr>
      </w:pPr>
      <w:r w:rsidRPr="008A4F10">
        <w:rPr>
          <w:b/>
        </w:rPr>
        <w:lastRenderedPageBreak/>
        <w:t xml:space="preserve">Appendix </w:t>
      </w:r>
      <w:r>
        <w:rPr>
          <w:b/>
        </w:rPr>
        <w:t>5:</w:t>
      </w:r>
      <w:r w:rsidRPr="008A4F10">
        <w:rPr>
          <w:b/>
        </w:rPr>
        <w:t xml:space="preserve"> </w:t>
      </w:r>
      <w:r>
        <w:rPr>
          <w:b/>
        </w:rPr>
        <w:t>Regression procedure with only Asian countries</w:t>
      </w:r>
    </w:p>
    <w:p w14:paraId="21F5B2F8" w14:textId="77777777" w:rsidR="002F6FBB" w:rsidRDefault="002F6FBB">
      <w:pPr>
        <w:rPr>
          <w:b/>
        </w:rPr>
      </w:pPr>
    </w:p>
    <w:p w14:paraId="445464AE" w14:textId="77777777" w:rsidR="002F6FBB" w:rsidRDefault="002F6FBB">
      <w:pPr>
        <w:rPr>
          <w:b/>
        </w:rPr>
      </w:pPr>
    </w:p>
    <w:p w14:paraId="7369C5D6" w14:textId="112E9CA3" w:rsidR="001B0694" w:rsidRDefault="002F6FBB">
      <w:pPr>
        <w:rPr>
          <w:b/>
        </w:rPr>
      </w:pPr>
      <w:r>
        <w:rPr>
          <w:noProof/>
        </w:rPr>
        <w:drawing>
          <wp:inline distT="0" distB="0" distL="0" distR="0" wp14:anchorId="443BE5DE" wp14:editId="066782F6">
            <wp:extent cx="4610100" cy="5267325"/>
            <wp:effectExtent l="0" t="0" r="0" b="9525"/>
            <wp:docPr id="1480228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8960" name="Picture 1" descr="A screenshot of a computer&#10;&#10;Description automatically generated"/>
                    <pic:cNvPicPr/>
                  </pic:nvPicPr>
                  <pic:blipFill>
                    <a:blip r:embed="rId16"/>
                    <a:stretch>
                      <a:fillRect/>
                    </a:stretch>
                  </pic:blipFill>
                  <pic:spPr>
                    <a:xfrm>
                      <a:off x="0" y="0"/>
                      <a:ext cx="4610100" cy="5267325"/>
                    </a:xfrm>
                    <a:prstGeom prst="rect">
                      <a:avLst/>
                    </a:prstGeom>
                  </pic:spPr>
                </pic:pic>
              </a:graphicData>
            </a:graphic>
          </wp:inline>
        </w:drawing>
      </w:r>
    </w:p>
    <w:p w14:paraId="4D411ADF" w14:textId="77777777" w:rsidR="002F6FBB" w:rsidRDefault="002F6FBB">
      <w:pPr>
        <w:rPr>
          <w:b/>
        </w:rPr>
      </w:pPr>
      <w:r>
        <w:rPr>
          <w:b/>
        </w:rPr>
        <w:br w:type="page"/>
      </w:r>
    </w:p>
    <w:p w14:paraId="58A1A61C" w14:textId="74A73249" w:rsidR="001B0694" w:rsidRDefault="001B0694">
      <w:pPr>
        <w:rPr>
          <w:b/>
        </w:rPr>
      </w:pPr>
      <w:r w:rsidRPr="008A4F10">
        <w:rPr>
          <w:b/>
        </w:rPr>
        <w:lastRenderedPageBreak/>
        <w:t xml:space="preserve">Appendix </w:t>
      </w:r>
      <w:r>
        <w:rPr>
          <w:b/>
        </w:rPr>
        <w:t>6:</w:t>
      </w:r>
      <w:r w:rsidRPr="008A4F10">
        <w:rPr>
          <w:b/>
        </w:rPr>
        <w:t xml:space="preserve"> </w:t>
      </w:r>
      <w:r>
        <w:rPr>
          <w:b/>
        </w:rPr>
        <w:t>Regression procedure with only African countries</w:t>
      </w:r>
    </w:p>
    <w:p w14:paraId="7843D0C7" w14:textId="77777777" w:rsidR="002F6FBB" w:rsidRDefault="002F6FBB">
      <w:pPr>
        <w:rPr>
          <w:b/>
        </w:rPr>
      </w:pPr>
    </w:p>
    <w:p w14:paraId="00698DC1" w14:textId="77777777" w:rsidR="002F6FBB" w:rsidRDefault="002F6FBB">
      <w:pPr>
        <w:rPr>
          <w:b/>
        </w:rPr>
      </w:pPr>
    </w:p>
    <w:p w14:paraId="6A10AA0F" w14:textId="44529611" w:rsidR="002F6FBB" w:rsidRDefault="002F6FBB" w:rsidP="002F6FBB">
      <w:pPr>
        <w:tabs>
          <w:tab w:val="left" w:pos="4170"/>
        </w:tabs>
        <w:rPr>
          <w:b/>
        </w:rPr>
      </w:pPr>
      <w:r>
        <w:rPr>
          <w:b/>
        </w:rPr>
        <w:tab/>
      </w:r>
      <w:r>
        <w:rPr>
          <w:noProof/>
        </w:rPr>
        <w:drawing>
          <wp:inline distT="0" distB="0" distL="0" distR="0" wp14:anchorId="2F53DD6C" wp14:editId="6BD80AB8">
            <wp:extent cx="4772025" cy="5543550"/>
            <wp:effectExtent l="0" t="0" r="9525" b="0"/>
            <wp:docPr id="5425923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237" name="Picture 1" descr="A screenshot of a calculator&#10;&#10;Description automatically generated"/>
                    <pic:cNvPicPr/>
                  </pic:nvPicPr>
                  <pic:blipFill>
                    <a:blip r:embed="rId17"/>
                    <a:stretch>
                      <a:fillRect/>
                    </a:stretch>
                  </pic:blipFill>
                  <pic:spPr>
                    <a:xfrm>
                      <a:off x="0" y="0"/>
                      <a:ext cx="4772025" cy="5543550"/>
                    </a:xfrm>
                    <a:prstGeom prst="rect">
                      <a:avLst/>
                    </a:prstGeom>
                  </pic:spPr>
                </pic:pic>
              </a:graphicData>
            </a:graphic>
          </wp:inline>
        </w:drawing>
      </w:r>
    </w:p>
    <w:p w14:paraId="0F4D1BAE" w14:textId="77777777" w:rsidR="001B0694" w:rsidRDefault="001B0694">
      <w:pPr>
        <w:rPr>
          <w:b/>
        </w:rPr>
      </w:pPr>
    </w:p>
    <w:p w14:paraId="17D8216C" w14:textId="77777777" w:rsidR="002F6FBB" w:rsidRDefault="002F6FBB">
      <w:pPr>
        <w:rPr>
          <w:b/>
        </w:rPr>
      </w:pPr>
      <w:r>
        <w:rPr>
          <w:b/>
        </w:rPr>
        <w:br w:type="page"/>
      </w:r>
    </w:p>
    <w:p w14:paraId="5136BA4C" w14:textId="6C6FCB53" w:rsidR="001B0694" w:rsidRDefault="001B0694">
      <w:pPr>
        <w:rPr>
          <w:b/>
        </w:rPr>
      </w:pPr>
      <w:r w:rsidRPr="008A4F10">
        <w:rPr>
          <w:b/>
        </w:rPr>
        <w:lastRenderedPageBreak/>
        <w:t xml:space="preserve">Appendix </w:t>
      </w:r>
      <w:r>
        <w:rPr>
          <w:b/>
        </w:rPr>
        <w:t>7:</w:t>
      </w:r>
      <w:r w:rsidRPr="008A4F10">
        <w:rPr>
          <w:b/>
        </w:rPr>
        <w:t xml:space="preserve"> </w:t>
      </w:r>
      <w:r>
        <w:rPr>
          <w:b/>
        </w:rPr>
        <w:t>Regression procedure with only American countries</w:t>
      </w:r>
    </w:p>
    <w:p w14:paraId="286EC1B4" w14:textId="77777777" w:rsidR="002F6FBB" w:rsidRDefault="002F6FBB">
      <w:pPr>
        <w:rPr>
          <w:b/>
        </w:rPr>
      </w:pPr>
    </w:p>
    <w:p w14:paraId="5F6C917D" w14:textId="77777777" w:rsidR="002F6FBB" w:rsidRDefault="002F6FBB">
      <w:pPr>
        <w:rPr>
          <w:b/>
        </w:rPr>
      </w:pPr>
    </w:p>
    <w:p w14:paraId="5387C69F" w14:textId="49CF4B2F" w:rsidR="002F6FBB" w:rsidRDefault="002F6FBB">
      <w:pPr>
        <w:rPr>
          <w:noProof/>
        </w:rPr>
      </w:pPr>
      <w:r>
        <w:rPr>
          <w:noProof/>
        </w:rPr>
        <w:drawing>
          <wp:inline distT="0" distB="0" distL="0" distR="0" wp14:anchorId="30843765" wp14:editId="5B4DF80E">
            <wp:extent cx="5410200" cy="5991225"/>
            <wp:effectExtent l="0" t="0" r="0" b="9525"/>
            <wp:docPr id="175737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71318" name=""/>
                    <pic:cNvPicPr/>
                  </pic:nvPicPr>
                  <pic:blipFill>
                    <a:blip r:embed="rId18"/>
                    <a:stretch>
                      <a:fillRect/>
                    </a:stretch>
                  </pic:blipFill>
                  <pic:spPr>
                    <a:xfrm>
                      <a:off x="0" y="0"/>
                      <a:ext cx="5410200" cy="5991225"/>
                    </a:xfrm>
                    <a:prstGeom prst="rect">
                      <a:avLst/>
                    </a:prstGeom>
                  </pic:spPr>
                </pic:pic>
              </a:graphicData>
            </a:graphic>
          </wp:inline>
        </w:drawing>
      </w:r>
    </w:p>
    <w:p w14:paraId="14362217" w14:textId="77777777" w:rsidR="00CC3BC4" w:rsidRDefault="00CC3BC4">
      <w:pPr>
        <w:rPr>
          <w:noProof/>
        </w:rPr>
      </w:pPr>
    </w:p>
    <w:p w14:paraId="0B1149CF" w14:textId="77777777" w:rsidR="00CC3BC4" w:rsidRDefault="00CC3BC4">
      <w:pPr>
        <w:rPr>
          <w:noProof/>
        </w:rPr>
      </w:pPr>
    </w:p>
    <w:p w14:paraId="64C6C560" w14:textId="77777777" w:rsidR="00CC3BC4" w:rsidRDefault="00CC3BC4">
      <w:pPr>
        <w:rPr>
          <w:noProof/>
        </w:rPr>
      </w:pPr>
    </w:p>
    <w:p w14:paraId="5D144D82" w14:textId="77777777" w:rsidR="00CC3BC4" w:rsidRDefault="00CC3BC4">
      <w:pPr>
        <w:rPr>
          <w:noProof/>
        </w:rPr>
      </w:pPr>
    </w:p>
    <w:p w14:paraId="72AA72EB" w14:textId="77777777" w:rsidR="00AA22C4" w:rsidRDefault="00AA22C4">
      <w:pPr>
        <w:rPr>
          <w:noProof/>
        </w:rPr>
      </w:pPr>
    </w:p>
    <w:p w14:paraId="0FB19772" w14:textId="77777777" w:rsidR="00AA22C4" w:rsidRDefault="00AA22C4">
      <w:pPr>
        <w:rPr>
          <w:noProof/>
        </w:rPr>
      </w:pPr>
    </w:p>
    <w:p w14:paraId="7A028355" w14:textId="77777777" w:rsidR="00AA22C4" w:rsidRDefault="00AA22C4">
      <w:pPr>
        <w:rPr>
          <w:noProof/>
        </w:rPr>
      </w:pPr>
    </w:p>
    <w:p w14:paraId="2363F91C" w14:textId="77777777" w:rsidR="00AA22C4" w:rsidRDefault="00AA22C4">
      <w:pPr>
        <w:rPr>
          <w:noProof/>
        </w:rPr>
      </w:pPr>
    </w:p>
    <w:p w14:paraId="46E5711F" w14:textId="77777777" w:rsidR="00AA22C4" w:rsidRDefault="00AA22C4">
      <w:pPr>
        <w:rPr>
          <w:noProof/>
        </w:rPr>
      </w:pPr>
    </w:p>
    <w:p w14:paraId="29F2A824" w14:textId="6774A3E3" w:rsidR="00CC3BC4" w:rsidRDefault="00CC3BC4" w:rsidP="00CC3BC4">
      <w:pPr>
        <w:rPr>
          <w:b/>
        </w:rPr>
      </w:pPr>
      <w:r w:rsidRPr="008A4F10">
        <w:rPr>
          <w:b/>
        </w:rPr>
        <w:lastRenderedPageBreak/>
        <w:t xml:space="preserve">Appendix </w:t>
      </w:r>
      <w:r>
        <w:rPr>
          <w:b/>
        </w:rPr>
        <w:t>8:</w:t>
      </w:r>
      <w:r w:rsidRPr="008A4F10">
        <w:rPr>
          <w:b/>
        </w:rPr>
        <w:t xml:space="preserve"> </w:t>
      </w:r>
      <w:r>
        <w:rPr>
          <w:b/>
        </w:rPr>
        <w:t xml:space="preserve">List of </w:t>
      </w:r>
      <w:r w:rsidR="00066CED">
        <w:rPr>
          <w:b/>
        </w:rPr>
        <w:t xml:space="preserve">all </w:t>
      </w:r>
      <w:r>
        <w:rPr>
          <w:b/>
        </w:rPr>
        <w:t xml:space="preserve">countries </w:t>
      </w:r>
      <w:r w:rsidR="00AA22C4">
        <w:rPr>
          <w:b/>
        </w:rPr>
        <w:t>whose statistics have been used for the regression</w:t>
      </w:r>
    </w:p>
    <w:p w14:paraId="08D21651" w14:textId="77777777" w:rsidR="00142CDE" w:rsidRDefault="00142CDE" w:rsidP="00CC3BC4">
      <w:pPr>
        <w:rPr>
          <w:b/>
        </w:rPr>
      </w:pPr>
    </w:p>
    <w:tbl>
      <w:tblPr>
        <w:tblW w:w="6565" w:type="dxa"/>
        <w:tblLook w:val="04A0" w:firstRow="1" w:lastRow="0" w:firstColumn="1" w:lastColumn="0" w:noHBand="0" w:noVBand="1"/>
      </w:tblPr>
      <w:tblGrid>
        <w:gridCol w:w="960"/>
        <w:gridCol w:w="3265"/>
        <w:gridCol w:w="2340"/>
      </w:tblGrid>
      <w:tr w:rsidR="00AA22C4" w14:paraId="07BBE4CA" w14:textId="77777777" w:rsidTr="00142CDE">
        <w:trPr>
          <w:trHeight w:val="264"/>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2E353A9" w14:textId="77777777" w:rsidR="00AA22C4" w:rsidRDefault="00AA22C4">
            <w:pPr>
              <w:jc w:val="center"/>
              <w:rPr>
                <w:rFonts w:ascii="Arial" w:hAnsi="Arial" w:cs="Arial"/>
                <w:sz w:val="20"/>
                <w:szCs w:val="20"/>
              </w:rPr>
            </w:pPr>
            <w:r>
              <w:rPr>
                <w:rFonts w:ascii="Arial" w:hAnsi="Arial" w:cs="Arial"/>
                <w:sz w:val="20"/>
                <w:szCs w:val="20"/>
              </w:rPr>
              <w:t> </w:t>
            </w:r>
          </w:p>
        </w:tc>
        <w:tc>
          <w:tcPr>
            <w:tcW w:w="3265" w:type="dxa"/>
            <w:tcBorders>
              <w:top w:val="single" w:sz="4" w:space="0" w:color="auto"/>
              <w:left w:val="nil"/>
              <w:bottom w:val="single" w:sz="4" w:space="0" w:color="auto"/>
              <w:right w:val="single" w:sz="4" w:space="0" w:color="auto"/>
            </w:tcBorders>
            <w:noWrap/>
            <w:vAlign w:val="bottom"/>
            <w:hideMark/>
          </w:tcPr>
          <w:p w14:paraId="560D3DC1" w14:textId="77777777" w:rsidR="00AA22C4" w:rsidRDefault="00AA22C4">
            <w:pPr>
              <w:jc w:val="center"/>
              <w:rPr>
                <w:rFonts w:ascii="Arial" w:hAnsi="Arial" w:cs="Arial"/>
                <w:sz w:val="20"/>
                <w:szCs w:val="20"/>
              </w:rPr>
            </w:pPr>
            <w:r>
              <w:rPr>
                <w:rFonts w:ascii="Arial" w:hAnsi="Arial" w:cs="Arial"/>
                <w:sz w:val="20"/>
                <w:szCs w:val="20"/>
              </w:rPr>
              <w:t>Country</w:t>
            </w:r>
          </w:p>
        </w:tc>
        <w:tc>
          <w:tcPr>
            <w:tcW w:w="2340" w:type="dxa"/>
            <w:tcBorders>
              <w:top w:val="single" w:sz="4" w:space="0" w:color="auto"/>
              <w:left w:val="nil"/>
              <w:bottom w:val="single" w:sz="4" w:space="0" w:color="auto"/>
              <w:right w:val="single" w:sz="4" w:space="0" w:color="auto"/>
            </w:tcBorders>
            <w:noWrap/>
            <w:vAlign w:val="bottom"/>
            <w:hideMark/>
          </w:tcPr>
          <w:p w14:paraId="5506FA44" w14:textId="77777777" w:rsidR="00AA22C4" w:rsidRDefault="00AA22C4">
            <w:pPr>
              <w:jc w:val="center"/>
              <w:rPr>
                <w:rFonts w:ascii="Arial" w:hAnsi="Arial" w:cs="Arial"/>
                <w:sz w:val="20"/>
                <w:szCs w:val="20"/>
              </w:rPr>
            </w:pPr>
            <w:r>
              <w:rPr>
                <w:rFonts w:ascii="Arial" w:hAnsi="Arial" w:cs="Arial"/>
                <w:sz w:val="20"/>
                <w:szCs w:val="20"/>
              </w:rPr>
              <w:t>Continent</w:t>
            </w:r>
          </w:p>
        </w:tc>
      </w:tr>
      <w:tr w:rsidR="00AA22C4" w14:paraId="3E6BD3C5"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E44C3F1" w14:textId="77777777" w:rsidR="00AA22C4" w:rsidRDefault="00AA22C4">
            <w:pPr>
              <w:jc w:val="center"/>
              <w:rPr>
                <w:rFonts w:ascii="Arial" w:hAnsi="Arial" w:cs="Arial"/>
                <w:sz w:val="20"/>
                <w:szCs w:val="20"/>
              </w:rPr>
            </w:pPr>
            <w:r>
              <w:rPr>
                <w:rFonts w:ascii="Arial" w:hAnsi="Arial" w:cs="Arial"/>
                <w:sz w:val="20"/>
                <w:szCs w:val="20"/>
              </w:rPr>
              <w:t>1</w:t>
            </w:r>
          </w:p>
        </w:tc>
        <w:tc>
          <w:tcPr>
            <w:tcW w:w="3265" w:type="dxa"/>
            <w:tcBorders>
              <w:top w:val="nil"/>
              <w:left w:val="nil"/>
              <w:bottom w:val="single" w:sz="4" w:space="0" w:color="auto"/>
              <w:right w:val="single" w:sz="4" w:space="0" w:color="auto"/>
            </w:tcBorders>
            <w:noWrap/>
            <w:vAlign w:val="bottom"/>
            <w:hideMark/>
          </w:tcPr>
          <w:p w14:paraId="3F1DD4FC" w14:textId="77777777" w:rsidR="00AA22C4" w:rsidRDefault="00AA22C4">
            <w:pPr>
              <w:rPr>
                <w:rFonts w:ascii="Arial" w:hAnsi="Arial" w:cs="Arial"/>
                <w:sz w:val="20"/>
                <w:szCs w:val="20"/>
              </w:rPr>
            </w:pPr>
            <w:r>
              <w:rPr>
                <w:rFonts w:ascii="Arial" w:hAnsi="Arial" w:cs="Arial"/>
                <w:sz w:val="20"/>
                <w:szCs w:val="20"/>
              </w:rPr>
              <w:t>Algeria</w:t>
            </w:r>
          </w:p>
        </w:tc>
        <w:tc>
          <w:tcPr>
            <w:tcW w:w="2340" w:type="dxa"/>
            <w:tcBorders>
              <w:top w:val="nil"/>
              <w:left w:val="nil"/>
              <w:bottom w:val="single" w:sz="4" w:space="0" w:color="auto"/>
              <w:right w:val="single" w:sz="4" w:space="0" w:color="auto"/>
            </w:tcBorders>
            <w:noWrap/>
            <w:vAlign w:val="bottom"/>
            <w:hideMark/>
          </w:tcPr>
          <w:p w14:paraId="7680989E"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49CFCDCE"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9A7F579" w14:textId="77777777" w:rsidR="00AA22C4" w:rsidRDefault="00AA22C4">
            <w:pPr>
              <w:jc w:val="center"/>
              <w:rPr>
                <w:rFonts w:ascii="Arial" w:hAnsi="Arial" w:cs="Arial"/>
                <w:sz w:val="20"/>
                <w:szCs w:val="20"/>
              </w:rPr>
            </w:pPr>
            <w:r>
              <w:rPr>
                <w:rFonts w:ascii="Arial" w:hAnsi="Arial" w:cs="Arial"/>
                <w:sz w:val="20"/>
                <w:szCs w:val="20"/>
              </w:rPr>
              <w:t>2</w:t>
            </w:r>
          </w:p>
        </w:tc>
        <w:tc>
          <w:tcPr>
            <w:tcW w:w="3265" w:type="dxa"/>
            <w:tcBorders>
              <w:top w:val="nil"/>
              <w:left w:val="nil"/>
              <w:bottom w:val="single" w:sz="4" w:space="0" w:color="auto"/>
              <w:right w:val="single" w:sz="4" w:space="0" w:color="auto"/>
            </w:tcBorders>
            <w:noWrap/>
            <w:vAlign w:val="bottom"/>
            <w:hideMark/>
          </w:tcPr>
          <w:p w14:paraId="4B80F2AE" w14:textId="77777777" w:rsidR="00AA22C4" w:rsidRDefault="00AA22C4">
            <w:pPr>
              <w:rPr>
                <w:rFonts w:ascii="Arial" w:hAnsi="Arial" w:cs="Arial"/>
                <w:sz w:val="20"/>
                <w:szCs w:val="20"/>
              </w:rPr>
            </w:pPr>
            <w:r>
              <w:rPr>
                <w:rFonts w:ascii="Arial" w:hAnsi="Arial" w:cs="Arial"/>
                <w:sz w:val="20"/>
                <w:szCs w:val="20"/>
              </w:rPr>
              <w:t>Angola</w:t>
            </w:r>
          </w:p>
        </w:tc>
        <w:tc>
          <w:tcPr>
            <w:tcW w:w="2340" w:type="dxa"/>
            <w:tcBorders>
              <w:top w:val="nil"/>
              <w:left w:val="nil"/>
              <w:bottom w:val="single" w:sz="4" w:space="0" w:color="auto"/>
              <w:right w:val="single" w:sz="4" w:space="0" w:color="auto"/>
            </w:tcBorders>
            <w:noWrap/>
            <w:vAlign w:val="bottom"/>
            <w:hideMark/>
          </w:tcPr>
          <w:p w14:paraId="2CEAE13E"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56DC2351"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4174036" w14:textId="77777777" w:rsidR="00AA22C4" w:rsidRDefault="00AA22C4">
            <w:pPr>
              <w:jc w:val="center"/>
              <w:rPr>
                <w:rFonts w:ascii="Arial" w:hAnsi="Arial" w:cs="Arial"/>
                <w:sz w:val="20"/>
                <w:szCs w:val="20"/>
              </w:rPr>
            </w:pPr>
            <w:r>
              <w:rPr>
                <w:rFonts w:ascii="Arial" w:hAnsi="Arial" w:cs="Arial"/>
                <w:sz w:val="20"/>
                <w:szCs w:val="20"/>
              </w:rPr>
              <w:t>3</w:t>
            </w:r>
          </w:p>
        </w:tc>
        <w:tc>
          <w:tcPr>
            <w:tcW w:w="3265" w:type="dxa"/>
            <w:tcBorders>
              <w:top w:val="nil"/>
              <w:left w:val="nil"/>
              <w:bottom w:val="single" w:sz="4" w:space="0" w:color="auto"/>
              <w:right w:val="single" w:sz="4" w:space="0" w:color="auto"/>
            </w:tcBorders>
            <w:noWrap/>
            <w:vAlign w:val="bottom"/>
            <w:hideMark/>
          </w:tcPr>
          <w:p w14:paraId="4B07326E" w14:textId="77777777" w:rsidR="00AA22C4" w:rsidRDefault="00AA22C4">
            <w:pPr>
              <w:rPr>
                <w:rFonts w:ascii="Arial" w:hAnsi="Arial" w:cs="Arial"/>
                <w:sz w:val="20"/>
                <w:szCs w:val="20"/>
              </w:rPr>
            </w:pPr>
            <w:r>
              <w:rPr>
                <w:rFonts w:ascii="Arial" w:hAnsi="Arial" w:cs="Arial"/>
                <w:sz w:val="20"/>
                <w:szCs w:val="20"/>
              </w:rPr>
              <w:t>Benin</w:t>
            </w:r>
          </w:p>
        </w:tc>
        <w:tc>
          <w:tcPr>
            <w:tcW w:w="2340" w:type="dxa"/>
            <w:tcBorders>
              <w:top w:val="nil"/>
              <w:left w:val="nil"/>
              <w:bottom w:val="single" w:sz="4" w:space="0" w:color="auto"/>
              <w:right w:val="single" w:sz="4" w:space="0" w:color="auto"/>
            </w:tcBorders>
            <w:noWrap/>
            <w:vAlign w:val="bottom"/>
            <w:hideMark/>
          </w:tcPr>
          <w:p w14:paraId="6E26857E"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0C254F2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643ADAC" w14:textId="77777777" w:rsidR="00AA22C4" w:rsidRDefault="00AA22C4">
            <w:pPr>
              <w:jc w:val="center"/>
              <w:rPr>
                <w:rFonts w:ascii="Arial" w:hAnsi="Arial" w:cs="Arial"/>
                <w:sz w:val="20"/>
                <w:szCs w:val="20"/>
              </w:rPr>
            </w:pPr>
            <w:r>
              <w:rPr>
                <w:rFonts w:ascii="Arial" w:hAnsi="Arial" w:cs="Arial"/>
                <w:sz w:val="20"/>
                <w:szCs w:val="20"/>
              </w:rPr>
              <w:t>4</w:t>
            </w:r>
          </w:p>
        </w:tc>
        <w:tc>
          <w:tcPr>
            <w:tcW w:w="3265" w:type="dxa"/>
            <w:tcBorders>
              <w:top w:val="nil"/>
              <w:left w:val="nil"/>
              <w:bottom w:val="single" w:sz="4" w:space="0" w:color="auto"/>
              <w:right w:val="single" w:sz="4" w:space="0" w:color="auto"/>
            </w:tcBorders>
            <w:noWrap/>
            <w:vAlign w:val="bottom"/>
            <w:hideMark/>
          </w:tcPr>
          <w:p w14:paraId="7D6A71C1" w14:textId="77777777" w:rsidR="00AA22C4" w:rsidRDefault="00AA22C4">
            <w:pPr>
              <w:rPr>
                <w:rFonts w:ascii="Arial" w:hAnsi="Arial" w:cs="Arial"/>
                <w:sz w:val="20"/>
                <w:szCs w:val="20"/>
              </w:rPr>
            </w:pPr>
            <w:r>
              <w:rPr>
                <w:rFonts w:ascii="Arial" w:hAnsi="Arial" w:cs="Arial"/>
                <w:sz w:val="20"/>
                <w:szCs w:val="20"/>
              </w:rPr>
              <w:t>Botswana</w:t>
            </w:r>
          </w:p>
        </w:tc>
        <w:tc>
          <w:tcPr>
            <w:tcW w:w="2340" w:type="dxa"/>
            <w:tcBorders>
              <w:top w:val="nil"/>
              <w:left w:val="nil"/>
              <w:bottom w:val="single" w:sz="4" w:space="0" w:color="auto"/>
              <w:right w:val="single" w:sz="4" w:space="0" w:color="auto"/>
            </w:tcBorders>
            <w:noWrap/>
            <w:vAlign w:val="bottom"/>
            <w:hideMark/>
          </w:tcPr>
          <w:p w14:paraId="779AE3E2"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14A8A95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0E5AADB1" w14:textId="77777777" w:rsidR="00AA22C4" w:rsidRDefault="00AA22C4">
            <w:pPr>
              <w:jc w:val="center"/>
              <w:rPr>
                <w:rFonts w:ascii="Arial" w:hAnsi="Arial" w:cs="Arial"/>
                <w:sz w:val="20"/>
                <w:szCs w:val="20"/>
              </w:rPr>
            </w:pPr>
            <w:r>
              <w:rPr>
                <w:rFonts w:ascii="Arial" w:hAnsi="Arial" w:cs="Arial"/>
                <w:sz w:val="20"/>
                <w:szCs w:val="20"/>
              </w:rPr>
              <w:t>5</w:t>
            </w:r>
          </w:p>
        </w:tc>
        <w:tc>
          <w:tcPr>
            <w:tcW w:w="3265" w:type="dxa"/>
            <w:tcBorders>
              <w:top w:val="nil"/>
              <w:left w:val="nil"/>
              <w:bottom w:val="single" w:sz="4" w:space="0" w:color="auto"/>
              <w:right w:val="single" w:sz="4" w:space="0" w:color="auto"/>
            </w:tcBorders>
            <w:noWrap/>
            <w:vAlign w:val="bottom"/>
            <w:hideMark/>
          </w:tcPr>
          <w:p w14:paraId="47C611F4" w14:textId="77777777" w:rsidR="00AA22C4" w:rsidRDefault="00AA22C4">
            <w:pPr>
              <w:rPr>
                <w:rFonts w:ascii="Arial" w:hAnsi="Arial" w:cs="Arial"/>
                <w:sz w:val="20"/>
                <w:szCs w:val="20"/>
              </w:rPr>
            </w:pPr>
            <w:r>
              <w:rPr>
                <w:rFonts w:ascii="Arial" w:hAnsi="Arial" w:cs="Arial"/>
                <w:sz w:val="20"/>
                <w:szCs w:val="20"/>
              </w:rPr>
              <w:t>Burkina Faso</w:t>
            </w:r>
          </w:p>
        </w:tc>
        <w:tc>
          <w:tcPr>
            <w:tcW w:w="2340" w:type="dxa"/>
            <w:tcBorders>
              <w:top w:val="nil"/>
              <w:left w:val="nil"/>
              <w:bottom w:val="single" w:sz="4" w:space="0" w:color="auto"/>
              <w:right w:val="single" w:sz="4" w:space="0" w:color="auto"/>
            </w:tcBorders>
            <w:noWrap/>
            <w:vAlign w:val="bottom"/>
            <w:hideMark/>
          </w:tcPr>
          <w:p w14:paraId="14AB8F64"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28EB4BF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5749F42" w14:textId="77777777" w:rsidR="00AA22C4" w:rsidRDefault="00AA22C4">
            <w:pPr>
              <w:jc w:val="center"/>
              <w:rPr>
                <w:rFonts w:ascii="Arial" w:hAnsi="Arial" w:cs="Arial"/>
                <w:sz w:val="20"/>
                <w:szCs w:val="20"/>
              </w:rPr>
            </w:pPr>
            <w:r>
              <w:rPr>
                <w:rFonts w:ascii="Arial" w:hAnsi="Arial" w:cs="Arial"/>
                <w:sz w:val="20"/>
                <w:szCs w:val="20"/>
              </w:rPr>
              <w:t>6</w:t>
            </w:r>
          </w:p>
        </w:tc>
        <w:tc>
          <w:tcPr>
            <w:tcW w:w="3265" w:type="dxa"/>
            <w:tcBorders>
              <w:top w:val="nil"/>
              <w:left w:val="nil"/>
              <w:bottom w:val="single" w:sz="4" w:space="0" w:color="auto"/>
              <w:right w:val="single" w:sz="4" w:space="0" w:color="auto"/>
            </w:tcBorders>
            <w:noWrap/>
            <w:vAlign w:val="bottom"/>
            <w:hideMark/>
          </w:tcPr>
          <w:p w14:paraId="060E731C" w14:textId="77777777" w:rsidR="00AA22C4" w:rsidRDefault="00AA22C4">
            <w:pPr>
              <w:rPr>
                <w:rFonts w:ascii="Arial" w:hAnsi="Arial" w:cs="Arial"/>
                <w:sz w:val="20"/>
                <w:szCs w:val="20"/>
              </w:rPr>
            </w:pPr>
            <w:r>
              <w:rPr>
                <w:rFonts w:ascii="Arial" w:hAnsi="Arial" w:cs="Arial"/>
                <w:sz w:val="20"/>
                <w:szCs w:val="20"/>
              </w:rPr>
              <w:t>Cameroon</w:t>
            </w:r>
          </w:p>
        </w:tc>
        <w:tc>
          <w:tcPr>
            <w:tcW w:w="2340" w:type="dxa"/>
            <w:tcBorders>
              <w:top w:val="nil"/>
              <w:left w:val="nil"/>
              <w:bottom w:val="single" w:sz="4" w:space="0" w:color="auto"/>
              <w:right w:val="single" w:sz="4" w:space="0" w:color="auto"/>
            </w:tcBorders>
            <w:noWrap/>
            <w:vAlign w:val="bottom"/>
            <w:hideMark/>
          </w:tcPr>
          <w:p w14:paraId="73629B43"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0F3FB0C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5CEB2B9" w14:textId="77777777" w:rsidR="00AA22C4" w:rsidRDefault="00AA22C4">
            <w:pPr>
              <w:jc w:val="center"/>
              <w:rPr>
                <w:rFonts w:ascii="Arial" w:hAnsi="Arial" w:cs="Arial"/>
                <w:sz w:val="20"/>
                <w:szCs w:val="20"/>
              </w:rPr>
            </w:pPr>
            <w:r>
              <w:rPr>
                <w:rFonts w:ascii="Arial" w:hAnsi="Arial" w:cs="Arial"/>
                <w:sz w:val="20"/>
                <w:szCs w:val="20"/>
              </w:rPr>
              <w:t>7</w:t>
            </w:r>
          </w:p>
        </w:tc>
        <w:tc>
          <w:tcPr>
            <w:tcW w:w="3265" w:type="dxa"/>
            <w:tcBorders>
              <w:top w:val="nil"/>
              <w:left w:val="nil"/>
              <w:bottom w:val="single" w:sz="4" w:space="0" w:color="auto"/>
              <w:right w:val="single" w:sz="4" w:space="0" w:color="auto"/>
            </w:tcBorders>
            <w:noWrap/>
            <w:vAlign w:val="bottom"/>
            <w:hideMark/>
          </w:tcPr>
          <w:p w14:paraId="45AB5B8B" w14:textId="77777777" w:rsidR="00AA22C4" w:rsidRDefault="00AA22C4">
            <w:pPr>
              <w:rPr>
                <w:rFonts w:ascii="Arial" w:hAnsi="Arial" w:cs="Arial"/>
                <w:sz w:val="20"/>
                <w:szCs w:val="20"/>
              </w:rPr>
            </w:pPr>
            <w:r>
              <w:rPr>
                <w:rFonts w:ascii="Arial" w:hAnsi="Arial" w:cs="Arial"/>
                <w:sz w:val="20"/>
                <w:szCs w:val="20"/>
              </w:rPr>
              <w:t>Chad</w:t>
            </w:r>
          </w:p>
        </w:tc>
        <w:tc>
          <w:tcPr>
            <w:tcW w:w="2340" w:type="dxa"/>
            <w:tcBorders>
              <w:top w:val="nil"/>
              <w:left w:val="nil"/>
              <w:bottom w:val="single" w:sz="4" w:space="0" w:color="auto"/>
              <w:right w:val="single" w:sz="4" w:space="0" w:color="auto"/>
            </w:tcBorders>
            <w:noWrap/>
            <w:vAlign w:val="bottom"/>
            <w:hideMark/>
          </w:tcPr>
          <w:p w14:paraId="59E3B265"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105F3D49"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96E4F5D" w14:textId="77777777" w:rsidR="00AA22C4" w:rsidRDefault="00AA22C4">
            <w:pPr>
              <w:jc w:val="center"/>
              <w:rPr>
                <w:rFonts w:ascii="Arial" w:hAnsi="Arial" w:cs="Arial"/>
                <w:sz w:val="20"/>
                <w:szCs w:val="20"/>
              </w:rPr>
            </w:pPr>
            <w:r>
              <w:rPr>
                <w:rFonts w:ascii="Arial" w:hAnsi="Arial" w:cs="Arial"/>
                <w:sz w:val="20"/>
                <w:szCs w:val="20"/>
              </w:rPr>
              <w:t>8</w:t>
            </w:r>
          </w:p>
        </w:tc>
        <w:tc>
          <w:tcPr>
            <w:tcW w:w="3265" w:type="dxa"/>
            <w:tcBorders>
              <w:top w:val="nil"/>
              <w:left w:val="nil"/>
              <w:bottom w:val="single" w:sz="4" w:space="0" w:color="auto"/>
              <w:right w:val="single" w:sz="4" w:space="0" w:color="auto"/>
            </w:tcBorders>
            <w:noWrap/>
            <w:vAlign w:val="bottom"/>
            <w:hideMark/>
          </w:tcPr>
          <w:p w14:paraId="37E760AD" w14:textId="77777777" w:rsidR="00AA22C4" w:rsidRDefault="00AA22C4">
            <w:pPr>
              <w:rPr>
                <w:rFonts w:ascii="Arial" w:hAnsi="Arial" w:cs="Arial"/>
                <w:sz w:val="20"/>
                <w:szCs w:val="20"/>
              </w:rPr>
            </w:pPr>
            <w:r>
              <w:rPr>
                <w:rFonts w:ascii="Arial" w:hAnsi="Arial" w:cs="Arial"/>
                <w:sz w:val="20"/>
                <w:szCs w:val="20"/>
              </w:rPr>
              <w:t>Côte d'Ivoire</w:t>
            </w:r>
          </w:p>
        </w:tc>
        <w:tc>
          <w:tcPr>
            <w:tcW w:w="2340" w:type="dxa"/>
            <w:tcBorders>
              <w:top w:val="nil"/>
              <w:left w:val="nil"/>
              <w:bottom w:val="single" w:sz="4" w:space="0" w:color="auto"/>
              <w:right w:val="single" w:sz="4" w:space="0" w:color="auto"/>
            </w:tcBorders>
            <w:noWrap/>
            <w:vAlign w:val="bottom"/>
            <w:hideMark/>
          </w:tcPr>
          <w:p w14:paraId="4274A809"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20943A4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0BECF18" w14:textId="77777777" w:rsidR="00AA22C4" w:rsidRDefault="00AA22C4">
            <w:pPr>
              <w:jc w:val="center"/>
              <w:rPr>
                <w:rFonts w:ascii="Arial" w:hAnsi="Arial" w:cs="Arial"/>
                <w:sz w:val="20"/>
                <w:szCs w:val="20"/>
              </w:rPr>
            </w:pPr>
            <w:r>
              <w:rPr>
                <w:rFonts w:ascii="Arial" w:hAnsi="Arial" w:cs="Arial"/>
                <w:sz w:val="20"/>
                <w:szCs w:val="20"/>
              </w:rPr>
              <w:t>9</w:t>
            </w:r>
          </w:p>
        </w:tc>
        <w:tc>
          <w:tcPr>
            <w:tcW w:w="3265" w:type="dxa"/>
            <w:tcBorders>
              <w:top w:val="nil"/>
              <w:left w:val="nil"/>
              <w:bottom w:val="single" w:sz="4" w:space="0" w:color="auto"/>
              <w:right w:val="single" w:sz="4" w:space="0" w:color="auto"/>
            </w:tcBorders>
            <w:noWrap/>
            <w:vAlign w:val="bottom"/>
            <w:hideMark/>
          </w:tcPr>
          <w:p w14:paraId="231BA0B1" w14:textId="77777777" w:rsidR="00AA22C4" w:rsidRDefault="00AA22C4">
            <w:pPr>
              <w:rPr>
                <w:rFonts w:ascii="Arial" w:hAnsi="Arial" w:cs="Arial"/>
                <w:sz w:val="20"/>
                <w:szCs w:val="20"/>
              </w:rPr>
            </w:pPr>
            <w:r>
              <w:rPr>
                <w:rFonts w:ascii="Arial" w:hAnsi="Arial" w:cs="Arial"/>
                <w:sz w:val="20"/>
                <w:szCs w:val="20"/>
              </w:rPr>
              <w:t>Congo, Dem. Rep. of the</w:t>
            </w:r>
          </w:p>
        </w:tc>
        <w:tc>
          <w:tcPr>
            <w:tcW w:w="2340" w:type="dxa"/>
            <w:tcBorders>
              <w:top w:val="nil"/>
              <w:left w:val="nil"/>
              <w:bottom w:val="single" w:sz="4" w:space="0" w:color="auto"/>
              <w:right w:val="single" w:sz="4" w:space="0" w:color="auto"/>
            </w:tcBorders>
            <w:noWrap/>
            <w:vAlign w:val="bottom"/>
            <w:hideMark/>
          </w:tcPr>
          <w:p w14:paraId="75F05906"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471658E9"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18BD236" w14:textId="77777777" w:rsidR="00AA22C4" w:rsidRDefault="00AA22C4">
            <w:pPr>
              <w:jc w:val="center"/>
              <w:rPr>
                <w:rFonts w:ascii="Arial" w:hAnsi="Arial" w:cs="Arial"/>
                <w:sz w:val="20"/>
                <w:szCs w:val="20"/>
              </w:rPr>
            </w:pPr>
            <w:r>
              <w:rPr>
                <w:rFonts w:ascii="Arial" w:hAnsi="Arial" w:cs="Arial"/>
                <w:sz w:val="20"/>
                <w:szCs w:val="20"/>
              </w:rPr>
              <w:t>10</w:t>
            </w:r>
          </w:p>
        </w:tc>
        <w:tc>
          <w:tcPr>
            <w:tcW w:w="3265" w:type="dxa"/>
            <w:tcBorders>
              <w:top w:val="nil"/>
              <w:left w:val="nil"/>
              <w:bottom w:val="single" w:sz="4" w:space="0" w:color="auto"/>
              <w:right w:val="single" w:sz="4" w:space="0" w:color="auto"/>
            </w:tcBorders>
            <w:noWrap/>
            <w:vAlign w:val="bottom"/>
            <w:hideMark/>
          </w:tcPr>
          <w:p w14:paraId="1C0C5276" w14:textId="77777777" w:rsidR="00AA22C4" w:rsidRDefault="00AA22C4">
            <w:pPr>
              <w:rPr>
                <w:rFonts w:ascii="Arial" w:hAnsi="Arial" w:cs="Arial"/>
                <w:sz w:val="20"/>
                <w:szCs w:val="20"/>
              </w:rPr>
            </w:pPr>
            <w:r>
              <w:rPr>
                <w:rFonts w:ascii="Arial" w:hAnsi="Arial" w:cs="Arial"/>
                <w:sz w:val="20"/>
                <w:szCs w:val="20"/>
              </w:rPr>
              <w:t>Egypt</w:t>
            </w:r>
          </w:p>
        </w:tc>
        <w:tc>
          <w:tcPr>
            <w:tcW w:w="2340" w:type="dxa"/>
            <w:tcBorders>
              <w:top w:val="nil"/>
              <w:left w:val="nil"/>
              <w:bottom w:val="single" w:sz="4" w:space="0" w:color="auto"/>
              <w:right w:val="single" w:sz="4" w:space="0" w:color="auto"/>
            </w:tcBorders>
            <w:noWrap/>
            <w:vAlign w:val="bottom"/>
            <w:hideMark/>
          </w:tcPr>
          <w:p w14:paraId="1FC441A0"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23CBDBE8"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F5DCEEB" w14:textId="77777777" w:rsidR="00AA22C4" w:rsidRDefault="00AA22C4">
            <w:pPr>
              <w:jc w:val="center"/>
              <w:rPr>
                <w:rFonts w:ascii="Arial" w:hAnsi="Arial" w:cs="Arial"/>
                <w:sz w:val="20"/>
                <w:szCs w:val="20"/>
              </w:rPr>
            </w:pPr>
            <w:r>
              <w:rPr>
                <w:rFonts w:ascii="Arial" w:hAnsi="Arial" w:cs="Arial"/>
                <w:sz w:val="20"/>
                <w:szCs w:val="20"/>
              </w:rPr>
              <w:t>11</w:t>
            </w:r>
          </w:p>
        </w:tc>
        <w:tc>
          <w:tcPr>
            <w:tcW w:w="3265" w:type="dxa"/>
            <w:tcBorders>
              <w:top w:val="nil"/>
              <w:left w:val="nil"/>
              <w:bottom w:val="single" w:sz="4" w:space="0" w:color="auto"/>
              <w:right w:val="single" w:sz="4" w:space="0" w:color="auto"/>
            </w:tcBorders>
            <w:noWrap/>
            <w:vAlign w:val="bottom"/>
            <w:hideMark/>
          </w:tcPr>
          <w:p w14:paraId="0CD7D2E8" w14:textId="77777777" w:rsidR="00AA22C4" w:rsidRDefault="00AA22C4">
            <w:pPr>
              <w:rPr>
                <w:rFonts w:ascii="Arial" w:hAnsi="Arial" w:cs="Arial"/>
                <w:sz w:val="20"/>
                <w:szCs w:val="20"/>
              </w:rPr>
            </w:pPr>
            <w:r>
              <w:rPr>
                <w:rFonts w:ascii="Arial" w:hAnsi="Arial" w:cs="Arial"/>
                <w:sz w:val="20"/>
                <w:szCs w:val="20"/>
              </w:rPr>
              <w:t>Eswatini</w:t>
            </w:r>
          </w:p>
        </w:tc>
        <w:tc>
          <w:tcPr>
            <w:tcW w:w="2340" w:type="dxa"/>
            <w:tcBorders>
              <w:top w:val="nil"/>
              <w:left w:val="nil"/>
              <w:bottom w:val="single" w:sz="4" w:space="0" w:color="auto"/>
              <w:right w:val="single" w:sz="4" w:space="0" w:color="auto"/>
            </w:tcBorders>
            <w:noWrap/>
            <w:vAlign w:val="bottom"/>
            <w:hideMark/>
          </w:tcPr>
          <w:p w14:paraId="4EC2D756"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34DB12A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EC008B4" w14:textId="77777777" w:rsidR="00AA22C4" w:rsidRDefault="00AA22C4">
            <w:pPr>
              <w:jc w:val="center"/>
              <w:rPr>
                <w:rFonts w:ascii="Arial" w:hAnsi="Arial" w:cs="Arial"/>
                <w:sz w:val="20"/>
                <w:szCs w:val="20"/>
              </w:rPr>
            </w:pPr>
            <w:r>
              <w:rPr>
                <w:rFonts w:ascii="Arial" w:hAnsi="Arial" w:cs="Arial"/>
                <w:sz w:val="20"/>
                <w:szCs w:val="20"/>
              </w:rPr>
              <w:t>12</w:t>
            </w:r>
          </w:p>
        </w:tc>
        <w:tc>
          <w:tcPr>
            <w:tcW w:w="3265" w:type="dxa"/>
            <w:tcBorders>
              <w:top w:val="nil"/>
              <w:left w:val="nil"/>
              <w:bottom w:val="single" w:sz="4" w:space="0" w:color="auto"/>
              <w:right w:val="single" w:sz="4" w:space="0" w:color="auto"/>
            </w:tcBorders>
            <w:noWrap/>
            <w:vAlign w:val="bottom"/>
            <w:hideMark/>
          </w:tcPr>
          <w:p w14:paraId="081ACECA" w14:textId="77777777" w:rsidR="00AA22C4" w:rsidRDefault="00AA22C4">
            <w:pPr>
              <w:rPr>
                <w:rFonts w:ascii="Arial" w:hAnsi="Arial" w:cs="Arial"/>
                <w:sz w:val="20"/>
                <w:szCs w:val="20"/>
              </w:rPr>
            </w:pPr>
            <w:r>
              <w:rPr>
                <w:rFonts w:ascii="Arial" w:hAnsi="Arial" w:cs="Arial"/>
                <w:sz w:val="20"/>
                <w:szCs w:val="20"/>
              </w:rPr>
              <w:t>Ethiopia</w:t>
            </w:r>
          </w:p>
        </w:tc>
        <w:tc>
          <w:tcPr>
            <w:tcW w:w="2340" w:type="dxa"/>
            <w:tcBorders>
              <w:top w:val="nil"/>
              <w:left w:val="nil"/>
              <w:bottom w:val="single" w:sz="4" w:space="0" w:color="auto"/>
              <w:right w:val="single" w:sz="4" w:space="0" w:color="auto"/>
            </w:tcBorders>
            <w:noWrap/>
            <w:vAlign w:val="bottom"/>
            <w:hideMark/>
          </w:tcPr>
          <w:p w14:paraId="077BD65B"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745E2951"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367C0AC" w14:textId="77777777" w:rsidR="00AA22C4" w:rsidRDefault="00AA22C4">
            <w:pPr>
              <w:jc w:val="center"/>
              <w:rPr>
                <w:rFonts w:ascii="Arial" w:hAnsi="Arial" w:cs="Arial"/>
                <w:sz w:val="20"/>
                <w:szCs w:val="20"/>
              </w:rPr>
            </w:pPr>
            <w:r>
              <w:rPr>
                <w:rFonts w:ascii="Arial" w:hAnsi="Arial" w:cs="Arial"/>
                <w:sz w:val="20"/>
                <w:szCs w:val="20"/>
              </w:rPr>
              <w:t>13</w:t>
            </w:r>
          </w:p>
        </w:tc>
        <w:tc>
          <w:tcPr>
            <w:tcW w:w="3265" w:type="dxa"/>
            <w:tcBorders>
              <w:top w:val="nil"/>
              <w:left w:val="nil"/>
              <w:bottom w:val="single" w:sz="4" w:space="0" w:color="auto"/>
              <w:right w:val="single" w:sz="4" w:space="0" w:color="auto"/>
            </w:tcBorders>
            <w:noWrap/>
            <w:vAlign w:val="bottom"/>
            <w:hideMark/>
          </w:tcPr>
          <w:p w14:paraId="4E577A2C" w14:textId="77777777" w:rsidR="00AA22C4" w:rsidRDefault="00AA22C4">
            <w:pPr>
              <w:rPr>
                <w:rFonts w:ascii="Arial" w:hAnsi="Arial" w:cs="Arial"/>
                <w:sz w:val="20"/>
                <w:szCs w:val="20"/>
              </w:rPr>
            </w:pPr>
            <w:r>
              <w:rPr>
                <w:rFonts w:ascii="Arial" w:hAnsi="Arial" w:cs="Arial"/>
                <w:sz w:val="20"/>
                <w:szCs w:val="20"/>
              </w:rPr>
              <w:t>Gambia</w:t>
            </w:r>
          </w:p>
        </w:tc>
        <w:tc>
          <w:tcPr>
            <w:tcW w:w="2340" w:type="dxa"/>
            <w:tcBorders>
              <w:top w:val="nil"/>
              <w:left w:val="nil"/>
              <w:bottom w:val="single" w:sz="4" w:space="0" w:color="auto"/>
              <w:right w:val="single" w:sz="4" w:space="0" w:color="auto"/>
            </w:tcBorders>
            <w:noWrap/>
            <w:vAlign w:val="bottom"/>
            <w:hideMark/>
          </w:tcPr>
          <w:p w14:paraId="0CF6D536"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4CFB3F87"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B640B2D" w14:textId="77777777" w:rsidR="00AA22C4" w:rsidRDefault="00AA22C4">
            <w:pPr>
              <w:jc w:val="center"/>
              <w:rPr>
                <w:rFonts w:ascii="Arial" w:hAnsi="Arial" w:cs="Arial"/>
                <w:sz w:val="20"/>
                <w:szCs w:val="20"/>
              </w:rPr>
            </w:pPr>
            <w:r>
              <w:rPr>
                <w:rFonts w:ascii="Arial" w:hAnsi="Arial" w:cs="Arial"/>
                <w:sz w:val="20"/>
                <w:szCs w:val="20"/>
              </w:rPr>
              <w:t>14</w:t>
            </w:r>
          </w:p>
        </w:tc>
        <w:tc>
          <w:tcPr>
            <w:tcW w:w="3265" w:type="dxa"/>
            <w:tcBorders>
              <w:top w:val="nil"/>
              <w:left w:val="nil"/>
              <w:bottom w:val="single" w:sz="4" w:space="0" w:color="auto"/>
              <w:right w:val="single" w:sz="4" w:space="0" w:color="auto"/>
            </w:tcBorders>
            <w:noWrap/>
            <w:vAlign w:val="bottom"/>
            <w:hideMark/>
          </w:tcPr>
          <w:p w14:paraId="280D95D7" w14:textId="77777777" w:rsidR="00AA22C4" w:rsidRDefault="00AA22C4">
            <w:pPr>
              <w:rPr>
                <w:rFonts w:ascii="Arial" w:hAnsi="Arial" w:cs="Arial"/>
                <w:sz w:val="20"/>
                <w:szCs w:val="20"/>
              </w:rPr>
            </w:pPr>
            <w:r>
              <w:rPr>
                <w:rFonts w:ascii="Arial" w:hAnsi="Arial" w:cs="Arial"/>
                <w:sz w:val="20"/>
                <w:szCs w:val="20"/>
              </w:rPr>
              <w:t>Ghana</w:t>
            </w:r>
          </w:p>
        </w:tc>
        <w:tc>
          <w:tcPr>
            <w:tcW w:w="2340" w:type="dxa"/>
            <w:tcBorders>
              <w:top w:val="nil"/>
              <w:left w:val="nil"/>
              <w:bottom w:val="single" w:sz="4" w:space="0" w:color="auto"/>
              <w:right w:val="single" w:sz="4" w:space="0" w:color="auto"/>
            </w:tcBorders>
            <w:noWrap/>
            <w:vAlign w:val="bottom"/>
            <w:hideMark/>
          </w:tcPr>
          <w:p w14:paraId="2C3A2070"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44784927"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DC10BE3" w14:textId="77777777" w:rsidR="00AA22C4" w:rsidRDefault="00AA22C4">
            <w:pPr>
              <w:jc w:val="center"/>
              <w:rPr>
                <w:rFonts w:ascii="Arial" w:hAnsi="Arial" w:cs="Arial"/>
                <w:sz w:val="20"/>
                <w:szCs w:val="20"/>
              </w:rPr>
            </w:pPr>
            <w:r>
              <w:rPr>
                <w:rFonts w:ascii="Arial" w:hAnsi="Arial" w:cs="Arial"/>
                <w:sz w:val="20"/>
                <w:szCs w:val="20"/>
              </w:rPr>
              <w:t>15</w:t>
            </w:r>
          </w:p>
        </w:tc>
        <w:tc>
          <w:tcPr>
            <w:tcW w:w="3265" w:type="dxa"/>
            <w:tcBorders>
              <w:top w:val="nil"/>
              <w:left w:val="nil"/>
              <w:bottom w:val="single" w:sz="4" w:space="0" w:color="auto"/>
              <w:right w:val="single" w:sz="4" w:space="0" w:color="auto"/>
            </w:tcBorders>
            <w:noWrap/>
            <w:vAlign w:val="bottom"/>
            <w:hideMark/>
          </w:tcPr>
          <w:p w14:paraId="51F1E83E" w14:textId="77777777" w:rsidR="00AA22C4" w:rsidRDefault="00AA22C4">
            <w:pPr>
              <w:rPr>
                <w:rFonts w:ascii="Arial" w:hAnsi="Arial" w:cs="Arial"/>
                <w:sz w:val="20"/>
                <w:szCs w:val="20"/>
              </w:rPr>
            </w:pPr>
            <w:r>
              <w:rPr>
                <w:rFonts w:ascii="Arial" w:hAnsi="Arial" w:cs="Arial"/>
                <w:sz w:val="20"/>
                <w:szCs w:val="20"/>
              </w:rPr>
              <w:t>Kenya</w:t>
            </w:r>
          </w:p>
        </w:tc>
        <w:tc>
          <w:tcPr>
            <w:tcW w:w="2340" w:type="dxa"/>
            <w:tcBorders>
              <w:top w:val="nil"/>
              <w:left w:val="nil"/>
              <w:bottom w:val="single" w:sz="4" w:space="0" w:color="auto"/>
              <w:right w:val="single" w:sz="4" w:space="0" w:color="auto"/>
            </w:tcBorders>
            <w:noWrap/>
            <w:vAlign w:val="bottom"/>
            <w:hideMark/>
          </w:tcPr>
          <w:p w14:paraId="48677820"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039C9B6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59B3BBA" w14:textId="77777777" w:rsidR="00AA22C4" w:rsidRDefault="00AA22C4">
            <w:pPr>
              <w:jc w:val="center"/>
              <w:rPr>
                <w:rFonts w:ascii="Arial" w:hAnsi="Arial" w:cs="Arial"/>
                <w:sz w:val="20"/>
                <w:szCs w:val="20"/>
              </w:rPr>
            </w:pPr>
            <w:r>
              <w:rPr>
                <w:rFonts w:ascii="Arial" w:hAnsi="Arial" w:cs="Arial"/>
                <w:sz w:val="20"/>
                <w:szCs w:val="20"/>
              </w:rPr>
              <w:t>16</w:t>
            </w:r>
          </w:p>
        </w:tc>
        <w:tc>
          <w:tcPr>
            <w:tcW w:w="3265" w:type="dxa"/>
            <w:tcBorders>
              <w:top w:val="nil"/>
              <w:left w:val="nil"/>
              <w:bottom w:val="single" w:sz="4" w:space="0" w:color="auto"/>
              <w:right w:val="single" w:sz="4" w:space="0" w:color="auto"/>
            </w:tcBorders>
            <w:noWrap/>
            <w:vAlign w:val="bottom"/>
            <w:hideMark/>
          </w:tcPr>
          <w:p w14:paraId="3F4F3140" w14:textId="77777777" w:rsidR="00AA22C4" w:rsidRDefault="00AA22C4">
            <w:pPr>
              <w:rPr>
                <w:rFonts w:ascii="Arial" w:hAnsi="Arial" w:cs="Arial"/>
                <w:sz w:val="20"/>
                <w:szCs w:val="20"/>
              </w:rPr>
            </w:pPr>
            <w:r>
              <w:rPr>
                <w:rFonts w:ascii="Arial" w:hAnsi="Arial" w:cs="Arial"/>
                <w:sz w:val="20"/>
                <w:szCs w:val="20"/>
              </w:rPr>
              <w:t>Lesotho</w:t>
            </w:r>
          </w:p>
        </w:tc>
        <w:tc>
          <w:tcPr>
            <w:tcW w:w="2340" w:type="dxa"/>
            <w:tcBorders>
              <w:top w:val="nil"/>
              <w:left w:val="nil"/>
              <w:bottom w:val="single" w:sz="4" w:space="0" w:color="auto"/>
              <w:right w:val="single" w:sz="4" w:space="0" w:color="auto"/>
            </w:tcBorders>
            <w:noWrap/>
            <w:vAlign w:val="bottom"/>
            <w:hideMark/>
          </w:tcPr>
          <w:p w14:paraId="5C21468E"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1180DCB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A030594" w14:textId="77777777" w:rsidR="00AA22C4" w:rsidRDefault="00AA22C4">
            <w:pPr>
              <w:jc w:val="center"/>
              <w:rPr>
                <w:rFonts w:ascii="Arial" w:hAnsi="Arial" w:cs="Arial"/>
                <w:sz w:val="20"/>
                <w:szCs w:val="20"/>
              </w:rPr>
            </w:pPr>
            <w:r>
              <w:rPr>
                <w:rFonts w:ascii="Arial" w:hAnsi="Arial" w:cs="Arial"/>
                <w:sz w:val="20"/>
                <w:szCs w:val="20"/>
              </w:rPr>
              <w:t>17</w:t>
            </w:r>
          </w:p>
        </w:tc>
        <w:tc>
          <w:tcPr>
            <w:tcW w:w="3265" w:type="dxa"/>
            <w:tcBorders>
              <w:top w:val="nil"/>
              <w:left w:val="nil"/>
              <w:bottom w:val="single" w:sz="4" w:space="0" w:color="auto"/>
              <w:right w:val="single" w:sz="4" w:space="0" w:color="auto"/>
            </w:tcBorders>
            <w:noWrap/>
            <w:vAlign w:val="bottom"/>
            <w:hideMark/>
          </w:tcPr>
          <w:p w14:paraId="50F9D0F6" w14:textId="77777777" w:rsidR="00AA22C4" w:rsidRDefault="00AA22C4">
            <w:pPr>
              <w:rPr>
                <w:rFonts w:ascii="Arial" w:hAnsi="Arial" w:cs="Arial"/>
                <w:sz w:val="20"/>
                <w:szCs w:val="20"/>
              </w:rPr>
            </w:pPr>
            <w:r>
              <w:rPr>
                <w:rFonts w:ascii="Arial" w:hAnsi="Arial" w:cs="Arial"/>
                <w:sz w:val="20"/>
                <w:szCs w:val="20"/>
              </w:rPr>
              <w:t>Liberia</w:t>
            </w:r>
          </w:p>
        </w:tc>
        <w:tc>
          <w:tcPr>
            <w:tcW w:w="2340" w:type="dxa"/>
            <w:tcBorders>
              <w:top w:val="nil"/>
              <w:left w:val="nil"/>
              <w:bottom w:val="single" w:sz="4" w:space="0" w:color="auto"/>
              <w:right w:val="single" w:sz="4" w:space="0" w:color="auto"/>
            </w:tcBorders>
            <w:noWrap/>
            <w:vAlign w:val="bottom"/>
            <w:hideMark/>
          </w:tcPr>
          <w:p w14:paraId="1AD2512D"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16798FA1"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7A099F3" w14:textId="77777777" w:rsidR="00AA22C4" w:rsidRDefault="00AA22C4">
            <w:pPr>
              <w:jc w:val="center"/>
              <w:rPr>
                <w:rFonts w:ascii="Arial" w:hAnsi="Arial" w:cs="Arial"/>
                <w:sz w:val="20"/>
                <w:szCs w:val="20"/>
              </w:rPr>
            </w:pPr>
            <w:r>
              <w:rPr>
                <w:rFonts w:ascii="Arial" w:hAnsi="Arial" w:cs="Arial"/>
                <w:sz w:val="20"/>
                <w:szCs w:val="20"/>
              </w:rPr>
              <w:t>18</w:t>
            </w:r>
          </w:p>
        </w:tc>
        <w:tc>
          <w:tcPr>
            <w:tcW w:w="3265" w:type="dxa"/>
            <w:tcBorders>
              <w:top w:val="nil"/>
              <w:left w:val="nil"/>
              <w:bottom w:val="single" w:sz="4" w:space="0" w:color="auto"/>
              <w:right w:val="single" w:sz="4" w:space="0" w:color="auto"/>
            </w:tcBorders>
            <w:noWrap/>
            <w:vAlign w:val="bottom"/>
            <w:hideMark/>
          </w:tcPr>
          <w:p w14:paraId="073EB29B" w14:textId="77777777" w:rsidR="00AA22C4" w:rsidRDefault="00AA22C4">
            <w:pPr>
              <w:rPr>
                <w:rFonts w:ascii="Arial" w:hAnsi="Arial" w:cs="Arial"/>
                <w:sz w:val="20"/>
                <w:szCs w:val="20"/>
              </w:rPr>
            </w:pPr>
            <w:r>
              <w:rPr>
                <w:rFonts w:ascii="Arial" w:hAnsi="Arial" w:cs="Arial"/>
                <w:sz w:val="20"/>
                <w:szCs w:val="20"/>
              </w:rPr>
              <w:t>Madagascar</w:t>
            </w:r>
          </w:p>
        </w:tc>
        <w:tc>
          <w:tcPr>
            <w:tcW w:w="2340" w:type="dxa"/>
            <w:tcBorders>
              <w:top w:val="nil"/>
              <w:left w:val="nil"/>
              <w:bottom w:val="single" w:sz="4" w:space="0" w:color="auto"/>
              <w:right w:val="single" w:sz="4" w:space="0" w:color="auto"/>
            </w:tcBorders>
            <w:noWrap/>
            <w:vAlign w:val="bottom"/>
            <w:hideMark/>
          </w:tcPr>
          <w:p w14:paraId="0B56A80C"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064ACCC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087E0F7" w14:textId="77777777" w:rsidR="00AA22C4" w:rsidRDefault="00AA22C4">
            <w:pPr>
              <w:jc w:val="center"/>
              <w:rPr>
                <w:rFonts w:ascii="Arial" w:hAnsi="Arial" w:cs="Arial"/>
                <w:sz w:val="20"/>
                <w:szCs w:val="20"/>
              </w:rPr>
            </w:pPr>
            <w:r>
              <w:rPr>
                <w:rFonts w:ascii="Arial" w:hAnsi="Arial" w:cs="Arial"/>
                <w:sz w:val="20"/>
                <w:szCs w:val="20"/>
              </w:rPr>
              <w:t>19</w:t>
            </w:r>
          </w:p>
        </w:tc>
        <w:tc>
          <w:tcPr>
            <w:tcW w:w="3265" w:type="dxa"/>
            <w:tcBorders>
              <w:top w:val="nil"/>
              <w:left w:val="nil"/>
              <w:bottom w:val="single" w:sz="4" w:space="0" w:color="auto"/>
              <w:right w:val="single" w:sz="4" w:space="0" w:color="auto"/>
            </w:tcBorders>
            <w:noWrap/>
            <w:vAlign w:val="bottom"/>
            <w:hideMark/>
          </w:tcPr>
          <w:p w14:paraId="07CE3688" w14:textId="77777777" w:rsidR="00AA22C4" w:rsidRDefault="00AA22C4">
            <w:pPr>
              <w:rPr>
                <w:rFonts w:ascii="Arial" w:hAnsi="Arial" w:cs="Arial"/>
                <w:sz w:val="20"/>
                <w:szCs w:val="20"/>
              </w:rPr>
            </w:pPr>
            <w:r>
              <w:rPr>
                <w:rFonts w:ascii="Arial" w:hAnsi="Arial" w:cs="Arial"/>
                <w:sz w:val="20"/>
                <w:szCs w:val="20"/>
              </w:rPr>
              <w:t>Malawi</w:t>
            </w:r>
          </w:p>
        </w:tc>
        <w:tc>
          <w:tcPr>
            <w:tcW w:w="2340" w:type="dxa"/>
            <w:tcBorders>
              <w:top w:val="nil"/>
              <w:left w:val="nil"/>
              <w:bottom w:val="single" w:sz="4" w:space="0" w:color="auto"/>
              <w:right w:val="single" w:sz="4" w:space="0" w:color="auto"/>
            </w:tcBorders>
            <w:noWrap/>
            <w:vAlign w:val="bottom"/>
            <w:hideMark/>
          </w:tcPr>
          <w:p w14:paraId="0D0EA7DF"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243BFCD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E9F0C63" w14:textId="77777777" w:rsidR="00AA22C4" w:rsidRDefault="00AA22C4">
            <w:pPr>
              <w:jc w:val="center"/>
              <w:rPr>
                <w:rFonts w:ascii="Arial" w:hAnsi="Arial" w:cs="Arial"/>
                <w:sz w:val="20"/>
                <w:szCs w:val="20"/>
              </w:rPr>
            </w:pPr>
            <w:r>
              <w:rPr>
                <w:rFonts w:ascii="Arial" w:hAnsi="Arial" w:cs="Arial"/>
                <w:sz w:val="20"/>
                <w:szCs w:val="20"/>
              </w:rPr>
              <w:t>20</w:t>
            </w:r>
          </w:p>
        </w:tc>
        <w:tc>
          <w:tcPr>
            <w:tcW w:w="3265" w:type="dxa"/>
            <w:tcBorders>
              <w:top w:val="nil"/>
              <w:left w:val="nil"/>
              <w:bottom w:val="single" w:sz="4" w:space="0" w:color="auto"/>
              <w:right w:val="single" w:sz="4" w:space="0" w:color="auto"/>
            </w:tcBorders>
            <w:noWrap/>
            <w:vAlign w:val="bottom"/>
            <w:hideMark/>
          </w:tcPr>
          <w:p w14:paraId="36AB3C35" w14:textId="77777777" w:rsidR="00AA22C4" w:rsidRDefault="00AA22C4">
            <w:pPr>
              <w:rPr>
                <w:rFonts w:ascii="Arial" w:hAnsi="Arial" w:cs="Arial"/>
                <w:sz w:val="20"/>
                <w:szCs w:val="20"/>
              </w:rPr>
            </w:pPr>
            <w:r>
              <w:rPr>
                <w:rFonts w:ascii="Arial" w:hAnsi="Arial" w:cs="Arial"/>
                <w:sz w:val="20"/>
                <w:szCs w:val="20"/>
              </w:rPr>
              <w:t>Mali</w:t>
            </w:r>
          </w:p>
        </w:tc>
        <w:tc>
          <w:tcPr>
            <w:tcW w:w="2340" w:type="dxa"/>
            <w:tcBorders>
              <w:top w:val="nil"/>
              <w:left w:val="nil"/>
              <w:bottom w:val="single" w:sz="4" w:space="0" w:color="auto"/>
              <w:right w:val="single" w:sz="4" w:space="0" w:color="auto"/>
            </w:tcBorders>
            <w:noWrap/>
            <w:vAlign w:val="bottom"/>
            <w:hideMark/>
          </w:tcPr>
          <w:p w14:paraId="62319C09"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24E7B60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C603381" w14:textId="77777777" w:rsidR="00AA22C4" w:rsidRDefault="00AA22C4">
            <w:pPr>
              <w:jc w:val="center"/>
              <w:rPr>
                <w:rFonts w:ascii="Arial" w:hAnsi="Arial" w:cs="Arial"/>
                <w:sz w:val="20"/>
                <w:szCs w:val="20"/>
              </w:rPr>
            </w:pPr>
            <w:r>
              <w:rPr>
                <w:rFonts w:ascii="Arial" w:hAnsi="Arial" w:cs="Arial"/>
                <w:sz w:val="20"/>
                <w:szCs w:val="20"/>
              </w:rPr>
              <w:t>21</w:t>
            </w:r>
          </w:p>
        </w:tc>
        <w:tc>
          <w:tcPr>
            <w:tcW w:w="3265" w:type="dxa"/>
            <w:tcBorders>
              <w:top w:val="nil"/>
              <w:left w:val="nil"/>
              <w:bottom w:val="single" w:sz="4" w:space="0" w:color="auto"/>
              <w:right w:val="single" w:sz="4" w:space="0" w:color="auto"/>
            </w:tcBorders>
            <w:noWrap/>
            <w:vAlign w:val="bottom"/>
            <w:hideMark/>
          </w:tcPr>
          <w:p w14:paraId="01A49C75" w14:textId="77777777" w:rsidR="00AA22C4" w:rsidRDefault="00AA22C4">
            <w:pPr>
              <w:rPr>
                <w:rFonts w:ascii="Arial" w:hAnsi="Arial" w:cs="Arial"/>
                <w:sz w:val="20"/>
                <w:szCs w:val="20"/>
              </w:rPr>
            </w:pPr>
            <w:r>
              <w:rPr>
                <w:rFonts w:ascii="Arial" w:hAnsi="Arial" w:cs="Arial"/>
                <w:sz w:val="20"/>
                <w:szCs w:val="20"/>
              </w:rPr>
              <w:t>Mozambique</w:t>
            </w:r>
          </w:p>
        </w:tc>
        <w:tc>
          <w:tcPr>
            <w:tcW w:w="2340" w:type="dxa"/>
            <w:tcBorders>
              <w:top w:val="nil"/>
              <w:left w:val="nil"/>
              <w:bottom w:val="single" w:sz="4" w:space="0" w:color="auto"/>
              <w:right w:val="single" w:sz="4" w:space="0" w:color="auto"/>
            </w:tcBorders>
            <w:noWrap/>
            <w:vAlign w:val="bottom"/>
            <w:hideMark/>
          </w:tcPr>
          <w:p w14:paraId="2312D7A6"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32FEBA1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83FDF48" w14:textId="77777777" w:rsidR="00AA22C4" w:rsidRDefault="00AA22C4">
            <w:pPr>
              <w:jc w:val="center"/>
              <w:rPr>
                <w:rFonts w:ascii="Arial" w:hAnsi="Arial" w:cs="Arial"/>
                <w:sz w:val="20"/>
                <w:szCs w:val="20"/>
              </w:rPr>
            </w:pPr>
            <w:r>
              <w:rPr>
                <w:rFonts w:ascii="Arial" w:hAnsi="Arial" w:cs="Arial"/>
                <w:sz w:val="20"/>
                <w:szCs w:val="20"/>
              </w:rPr>
              <w:t>22</w:t>
            </w:r>
          </w:p>
        </w:tc>
        <w:tc>
          <w:tcPr>
            <w:tcW w:w="3265" w:type="dxa"/>
            <w:tcBorders>
              <w:top w:val="nil"/>
              <w:left w:val="nil"/>
              <w:bottom w:val="single" w:sz="4" w:space="0" w:color="auto"/>
              <w:right w:val="single" w:sz="4" w:space="0" w:color="auto"/>
            </w:tcBorders>
            <w:noWrap/>
            <w:vAlign w:val="bottom"/>
            <w:hideMark/>
          </w:tcPr>
          <w:p w14:paraId="7565CB72" w14:textId="77777777" w:rsidR="00AA22C4" w:rsidRDefault="00AA22C4">
            <w:pPr>
              <w:rPr>
                <w:rFonts w:ascii="Arial" w:hAnsi="Arial" w:cs="Arial"/>
                <w:sz w:val="20"/>
                <w:szCs w:val="20"/>
              </w:rPr>
            </w:pPr>
            <w:r>
              <w:rPr>
                <w:rFonts w:ascii="Arial" w:hAnsi="Arial" w:cs="Arial"/>
                <w:sz w:val="20"/>
                <w:szCs w:val="20"/>
              </w:rPr>
              <w:t>Namibia</w:t>
            </w:r>
          </w:p>
        </w:tc>
        <w:tc>
          <w:tcPr>
            <w:tcW w:w="2340" w:type="dxa"/>
            <w:tcBorders>
              <w:top w:val="nil"/>
              <w:left w:val="nil"/>
              <w:bottom w:val="single" w:sz="4" w:space="0" w:color="auto"/>
              <w:right w:val="single" w:sz="4" w:space="0" w:color="auto"/>
            </w:tcBorders>
            <w:noWrap/>
            <w:vAlign w:val="bottom"/>
            <w:hideMark/>
          </w:tcPr>
          <w:p w14:paraId="5D3AC75A"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00EB1F7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136AC05" w14:textId="77777777" w:rsidR="00AA22C4" w:rsidRDefault="00AA22C4">
            <w:pPr>
              <w:jc w:val="center"/>
              <w:rPr>
                <w:rFonts w:ascii="Arial" w:hAnsi="Arial" w:cs="Arial"/>
                <w:sz w:val="20"/>
                <w:szCs w:val="20"/>
              </w:rPr>
            </w:pPr>
            <w:r>
              <w:rPr>
                <w:rFonts w:ascii="Arial" w:hAnsi="Arial" w:cs="Arial"/>
                <w:sz w:val="20"/>
                <w:szCs w:val="20"/>
              </w:rPr>
              <w:t>23</w:t>
            </w:r>
          </w:p>
        </w:tc>
        <w:tc>
          <w:tcPr>
            <w:tcW w:w="3265" w:type="dxa"/>
            <w:tcBorders>
              <w:top w:val="nil"/>
              <w:left w:val="nil"/>
              <w:bottom w:val="single" w:sz="4" w:space="0" w:color="auto"/>
              <w:right w:val="single" w:sz="4" w:space="0" w:color="auto"/>
            </w:tcBorders>
            <w:noWrap/>
            <w:vAlign w:val="bottom"/>
            <w:hideMark/>
          </w:tcPr>
          <w:p w14:paraId="59723294" w14:textId="77777777" w:rsidR="00AA22C4" w:rsidRDefault="00AA22C4">
            <w:pPr>
              <w:rPr>
                <w:rFonts w:ascii="Arial" w:hAnsi="Arial" w:cs="Arial"/>
                <w:sz w:val="20"/>
                <w:szCs w:val="20"/>
              </w:rPr>
            </w:pPr>
            <w:r>
              <w:rPr>
                <w:rFonts w:ascii="Arial" w:hAnsi="Arial" w:cs="Arial"/>
                <w:sz w:val="20"/>
                <w:szCs w:val="20"/>
              </w:rPr>
              <w:t>Niger</w:t>
            </w:r>
          </w:p>
        </w:tc>
        <w:tc>
          <w:tcPr>
            <w:tcW w:w="2340" w:type="dxa"/>
            <w:tcBorders>
              <w:top w:val="nil"/>
              <w:left w:val="nil"/>
              <w:bottom w:val="single" w:sz="4" w:space="0" w:color="auto"/>
              <w:right w:val="single" w:sz="4" w:space="0" w:color="auto"/>
            </w:tcBorders>
            <w:noWrap/>
            <w:vAlign w:val="bottom"/>
            <w:hideMark/>
          </w:tcPr>
          <w:p w14:paraId="0D0B2DDD"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193F7065"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722400A" w14:textId="77777777" w:rsidR="00AA22C4" w:rsidRDefault="00AA22C4">
            <w:pPr>
              <w:jc w:val="center"/>
              <w:rPr>
                <w:rFonts w:ascii="Arial" w:hAnsi="Arial" w:cs="Arial"/>
                <w:sz w:val="20"/>
                <w:szCs w:val="20"/>
              </w:rPr>
            </w:pPr>
            <w:r>
              <w:rPr>
                <w:rFonts w:ascii="Arial" w:hAnsi="Arial" w:cs="Arial"/>
                <w:sz w:val="20"/>
                <w:szCs w:val="20"/>
              </w:rPr>
              <w:t>24</w:t>
            </w:r>
          </w:p>
        </w:tc>
        <w:tc>
          <w:tcPr>
            <w:tcW w:w="3265" w:type="dxa"/>
            <w:tcBorders>
              <w:top w:val="nil"/>
              <w:left w:val="nil"/>
              <w:bottom w:val="single" w:sz="4" w:space="0" w:color="auto"/>
              <w:right w:val="single" w:sz="4" w:space="0" w:color="auto"/>
            </w:tcBorders>
            <w:noWrap/>
            <w:vAlign w:val="bottom"/>
            <w:hideMark/>
          </w:tcPr>
          <w:p w14:paraId="57FFA17D" w14:textId="77777777" w:rsidR="00AA22C4" w:rsidRDefault="00AA22C4">
            <w:pPr>
              <w:rPr>
                <w:rFonts w:ascii="Arial" w:hAnsi="Arial" w:cs="Arial"/>
                <w:sz w:val="20"/>
                <w:szCs w:val="20"/>
              </w:rPr>
            </w:pPr>
            <w:r>
              <w:rPr>
                <w:rFonts w:ascii="Arial" w:hAnsi="Arial" w:cs="Arial"/>
                <w:sz w:val="20"/>
                <w:szCs w:val="20"/>
              </w:rPr>
              <w:t>Nigeria</w:t>
            </w:r>
          </w:p>
        </w:tc>
        <w:tc>
          <w:tcPr>
            <w:tcW w:w="2340" w:type="dxa"/>
            <w:tcBorders>
              <w:top w:val="nil"/>
              <w:left w:val="nil"/>
              <w:bottom w:val="single" w:sz="4" w:space="0" w:color="auto"/>
              <w:right w:val="single" w:sz="4" w:space="0" w:color="auto"/>
            </w:tcBorders>
            <w:noWrap/>
            <w:vAlign w:val="bottom"/>
            <w:hideMark/>
          </w:tcPr>
          <w:p w14:paraId="04E32642"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4F22A246"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1C791EF" w14:textId="77777777" w:rsidR="00AA22C4" w:rsidRDefault="00AA22C4">
            <w:pPr>
              <w:jc w:val="center"/>
              <w:rPr>
                <w:rFonts w:ascii="Arial" w:hAnsi="Arial" w:cs="Arial"/>
                <w:sz w:val="20"/>
                <w:szCs w:val="20"/>
              </w:rPr>
            </w:pPr>
            <w:r>
              <w:rPr>
                <w:rFonts w:ascii="Arial" w:hAnsi="Arial" w:cs="Arial"/>
                <w:sz w:val="20"/>
                <w:szCs w:val="20"/>
              </w:rPr>
              <w:t>25</w:t>
            </w:r>
          </w:p>
        </w:tc>
        <w:tc>
          <w:tcPr>
            <w:tcW w:w="3265" w:type="dxa"/>
            <w:tcBorders>
              <w:top w:val="nil"/>
              <w:left w:val="nil"/>
              <w:bottom w:val="single" w:sz="4" w:space="0" w:color="auto"/>
              <w:right w:val="single" w:sz="4" w:space="0" w:color="auto"/>
            </w:tcBorders>
            <w:noWrap/>
            <w:vAlign w:val="bottom"/>
            <w:hideMark/>
          </w:tcPr>
          <w:p w14:paraId="50363CFD" w14:textId="77777777" w:rsidR="00AA22C4" w:rsidRDefault="00AA22C4">
            <w:pPr>
              <w:rPr>
                <w:rFonts w:ascii="Arial" w:hAnsi="Arial" w:cs="Arial"/>
                <w:sz w:val="20"/>
                <w:szCs w:val="20"/>
              </w:rPr>
            </w:pPr>
            <w:r>
              <w:rPr>
                <w:rFonts w:ascii="Arial" w:hAnsi="Arial" w:cs="Arial"/>
                <w:sz w:val="20"/>
                <w:szCs w:val="20"/>
              </w:rPr>
              <w:t>Rwanda</w:t>
            </w:r>
          </w:p>
        </w:tc>
        <w:tc>
          <w:tcPr>
            <w:tcW w:w="2340" w:type="dxa"/>
            <w:tcBorders>
              <w:top w:val="nil"/>
              <w:left w:val="nil"/>
              <w:bottom w:val="single" w:sz="4" w:space="0" w:color="auto"/>
              <w:right w:val="single" w:sz="4" w:space="0" w:color="auto"/>
            </w:tcBorders>
            <w:noWrap/>
            <w:vAlign w:val="bottom"/>
            <w:hideMark/>
          </w:tcPr>
          <w:p w14:paraId="4BCE9478"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02D560C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EB839BB" w14:textId="77777777" w:rsidR="00AA22C4" w:rsidRDefault="00AA22C4">
            <w:pPr>
              <w:jc w:val="center"/>
              <w:rPr>
                <w:rFonts w:ascii="Arial" w:hAnsi="Arial" w:cs="Arial"/>
                <w:sz w:val="20"/>
                <w:szCs w:val="20"/>
              </w:rPr>
            </w:pPr>
            <w:r>
              <w:rPr>
                <w:rFonts w:ascii="Arial" w:hAnsi="Arial" w:cs="Arial"/>
                <w:sz w:val="20"/>
                <w:szCs w:val="20"/>
              </w:rPr>
              <w:t>26</w:t>
            </w:r>
          </w:p>
        </w:tc>
        <w:tc>
          <w:tcPr>
            <w:tcW w:w="3265" w:type="dxa"/>
            <w:tcBorders>
              <w:top w:val="nil"/>
              <w:left w:val="nil"/>
              <w:bottom w:val="single" w:sz="4" w:space="0" w:color="auto"/>
              <w:right w:val="single" w:sz="4" w:space="0" w:color="auto"/>
            </w:tcBorders>
            <w:noWrap/>
            <w:vAlign w:val="bottom"/>
            <w:hideMark/>
          </w:tcPr>
          <w:p w14:paraId="7C8BC71F" w14:textId="77777777" w:rsidR="00AA22C4" w:rsidRDefault="00AA22C4">
            <w:pPr>
              <w:rPr>
                <w:rFonts w:ascii="Arial" w:hAnsi="Arial" w:cs="Arial"/>
                <w:sz w:val="20"/>
                <w:szCs w:val="20"/>
              </w:rPr>
            </w:pPr>
            <w:r>
              <w:rPr>
                <w:rFonts w:ascii="Arial" w:hAnsi="Arial" w:cs="Arial"/>
                <w:sz w:val="20"/>
                <w:szCs w:val="20"/>
              </w:rPr>
              <w:t>Senegal</w:t>
            </w:r>
          </w:p>
        </w:tc>
        <w:tc>
          <w:tcPr>
            <w:tcW w:w="2340" w:type="dxa"/>
            <w:tcBorders>
              <w:top w:val="nil"/>
              <w:left w:val="nil"/>
              <w:bottom w:val="single" w:sz="4" w:space="0" w:color="auto"/>
              <w:right w:val="single" w:sz="4" w:space="0" w:color="auto"/>
            </w:tcBorders>
            <w:noWrap/>
            <w:vAlign w:val="bottom"/>
            <w:hideMark/>
          </w:tcPr>
          <w:p w14:paraId="1962EAC6"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3A2569F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EEFA57D" w14:textId="77777777" w:rsidR="00AA22C4" w:rsidRDefault="00AA22C4">
            <w:pPr>
              <w:jc w:val="center"/>
              <w:rPr>
                <w:rFonts w:ascii="Arial" w:hAnsi="Arial" w:cs="Arial"/>
                <w:sz w:val="20"/>
                <w:szCs w:val="20"/>
              </w:rPr>
            </w:pPr>
            <w:r>
              <w:rPr>
                <w:rFonts w:ascii="Arial" w:hAnsi="Arial" w:cs="Arial"/>
                <w:sz w:val="20"/>
                <w:szCs w:val="20"/>
              </w:rPr>
              <w:t>27</w:t>
            </w:r>
          </w:p>
        </w:tc>
        <w:tc>
          <w:tcPr>
            <w:tcW w:w="3265" w:type="dxa"/>
            <w:tcBorders>
              <w:top w:val="nil"/>
              <w:left w:val="nil"/>
              <w:bottom w:val="single" w:sz="4" w:space="0" w:color="auto"/>
              <w:right w:val="single" w:sz="4" w:space="0" w:color="auto"/>
            </w:tcBorders>
            <w:noWrap/>
            <w:vAlign w:val="bottom"/>
            <w:hideMark/>
          </w:tcPr>
          <w:p w14:paraId="5AAC8068" w14:textId="77777777" w:rsidR="00AA22C4" w:rsidRDefault="00AA22C4">
            <w:pPr>
              <w:rPr>
                <w:rFonts w:ascii="Arial" w:hAnsi="Arial" w:cs="Arial"/>
                <w:sz w:val="20"/>
                <w:szCs w:val="20"/>
              </w:rPr>
            </w:pPr>
            <w:r>
              <w:rPr>
                <w:rFonts w:ascii="Arial" w:hAnsi="Arial" w:cs="Arial"/>
                <w:sz w:val="20"/>
                <w:szCs w:val="20"/>
              </w:rPr>
              <w:t>Sierra Leone</w:t>
            </w:r>
          </w:p>
        </w:tc>
        <w:tc>
          <w:tcPr>
            <w:tcW w:w="2340" w:type="dxa"/>
            <w:tcBorders>
              <w:top w:val="nil"/>
              <w:left w:val="nil"/>
              <w:bottom w:val="single" w:sz="4" w:space="0" w:color="auto"/>
              <w:right w:val="single" w:sz="4" w:space="0" w:color="auto"/>
            </w:tcBorders>
            <w:noWrap/>
            <w:vAlign w:val="bottom"/>
            <w:hideMark/>
          </w:tcPr>
          <w:p w14:paraId="26C6F804"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454FD4B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85E6778" w14:textId="77777777" w:rsidR="00AA22C4" w:rsidRDefault="00AA22C4">
            <w:pPr>
              <w:jc w:val="center"/>
              <w:rPr>
                <w:rFonts w:ascii="Arial" w:hAnsi="Arial" w:cs="Arial"/>
                <w:sz w:val="20"/>
                <w:szCs w:val="20"/>
              </w:rPr>
            </w:pPr>
            <w:r>
              <w:rPr>
                <w:rFonts w:ascii="Arial" w:hAnsi="Arial" w:cs="Arial"/>
                <w:sz w:val="20"/>
                <w:szCs w:val="20"/>
              </w:rPr>
              <w:t>28</w:t>
            </w:r>
          </w:p>
        </w:tc>
        <w:tc>
          <w:tcPr>
            <w:tcW w:w="3265" w:type="dxa"/>
            <w:tcBorders>
              <w:top w:val="nil"/>
              <w:left w:val="nil"/>
              <w:bottom w:val="single" w:sz="4" w:space="0" w:color="auto"/>
              <w:right w:val="single" w:sz="4" w:space="0" w:color="auto"/>
            </w:tcBorders>
            <w:noWrap/>
            <w:vAlign w:val="bottom"/>
            <w:hideMark/>
          </w:tcPr>
          <w:p w14:paraId="68B4386A" w14:textId="77777777" w:rsidR="00AA22C4" w:rsidRDefault="00AA22C4">
            <w:pPr>
              <w:rPr>
                <w:rFonts w:ascii="Arial" w:hAnsi="Arial" w:cs="Arial"/>
                <w:sz w:val="20"/>
                <w:szCs w:val="20"/>
              </w:rPr>
            </w:pPr>
            <w:r>
              <w:rPr>
                <w:rFonts w:ascii="Arial" w:hAnsi="Arial" w:cs="Arial"/>
                <w:sz w:val="20"/>
                <w:szCs w:val="20"/>
              </w:rPr>
              <w:t>South Africa</w:t>
            </w:r>
          </w:p>
        </w:tc>
        <w:tc>
          <w:tcPr>
            <w:tcW w:w="2340" w:type="dxa"/>
            <w:tcBorders>
              <w:top w:val="nil"/>
              <w:left w:val="nil"/>
              <w:bottom w:val="single" w:sz="4" w:space="0" w:color="auto"/>
              <w:right w:val="single" w:sz="4" w:space="0" w:color="auto"/>
            </w:tcBorders>
            <w:noWrap/>
            <w:vAlign w:val="bottom"/>
            <w:hideMark/>
          </w:tcPr>
          <w:p w14:paraId="64E521D5"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55C6328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2A0B013" w14:textId="77777777" w:rsidR="00AA22C4" w:rsidRDefault="00AA22C4">
            <w:pPr>
              <w:jc w:val="center"/>
              <w:rPr>
                <w:rFonts w:ascii="Arial" w:hAnsi="Arial" w:cs="Arial"/>
                <w:sz w:val="20"/>
                <w:szCs w:val="20"/>
              </w:rPr>
            </w:pPr>
            <w:r>
              <w:rPr>
                <w:rFonts w:ascii="Arial" w:hAnsi="Arial" w:cs="Arial"/>
                <w:sz w:val="20"/>
                <w:szCs w:val="20"/>
              </w:rPr>
              <w:t>29</w:t>
            </w:r>
          </w:p>
        </w:tc>
        <w:tc>
          <w:tcPr>
            <w:tcW w:w="3265" w:type="dxa"/>
            <w:tcBorders>
              <w:top w:val="nil"/>
              <w:left w:val="nil"/>
              <w:bottom w:val="single" w:sz="4" w:space="0" w:color="auto"/>
              <w:right w:val="single" w:sz="4" w:space="0" w:color="auto"/>
            </w:tcBorders>
            <w:noWrap/>
            <w:vAlign w:val="bottom"/>
            <w:hideMark/>
          </w:tcPr>
          <w:p w14:paraId="098F8DD7" w14:textId="77777777" w:rsidR="00AA22C4" w:rsidRDefault="00AA22C4">
            <w:pPr>
              <w:rPr>
                <w:rFonts w:ascii="Arial" w:hAnsi="Arial" w:cs="Arial"/>
                <w:sz w:val="20"/>
                <w:szCs w:val="20"/>
              </w:rPr>
            </w:pPr>
            <w:r>
              <w:rPr>
                <w:rFonts w:ascii="Arial" w:hAnsi="Arial" w:cs="Arial"/>
                <w:sz w:val="20"/>
                <w:szCs w:val="20"/>
              </w:rPr>
              <w:t>Tanzania</w:t>
            </w:r>
          </w:p>
        </w:tc>
        <w:tc>
          <w:tcPr>
            <w:tcW w:w="2340" w:type="dxa"/>
            <w:tcBorders>
              <w:top w:val="nil"/>
              <w:left w:val="nil"/>
              <w:bottom w:val="single" w:sz="4" w:space="0" w:color="auto"/>
              <w:right w:val="single" w:sz="4" w:space="0" w:color="auto"/>
            </w:tcBorders>
            <w:noWrap/>
            <w:vAlign w:val="bottom"/>
            <w:hideMark/>
          </w:tcPr>
          <w:p w14:paraId="634128C6"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202CE1B6"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F8E70BE" w14:textId="77777777" w:rsidR="00AA22C4" w:rsidRDefault="00AA22C4">
            <w:pPr>
              <w:jc w:val="center"/>
              <w:rPr>
                <w:rFonts w:ascii="Arial" w:hAnsi="Arial" w:cs="Arial"/>
                <w:sz w:val="20"/>
                <w:szCs w:val="20"/>
              </w:rPr>
            </w:pPr>
            <w:r>
              <w:rPr>
                <w:rFonts w:ascii="Arial" w:hAnsi="Arial" w:cs="Arial"/>
                <w:sz w:val="20"/>
                <w:szCs w:val="20"/>
              </w:rPr>
              <w:t>30</w:t>
            </w:r>
          </w:p>
        </w:tc>
        <w:tc>
          <w:tcPr>
            <w:tcW w:w="3265" w:type="dxa"/>
            <w:tcBorders>
              <w:top w:val="nil"/>
              <w:left w:val="nil"/>
              <w:bottom w:val="single" w:sz="4" w:space="0" w:color="auto"/>
              <w:right w:val="single" w:sz="4" w:space="0" w:color="auto"/>
            </w:tcBorders>
            <w:noWrap/>
            <w:vAlign w:val="bottom"/>
            <w:hideMark/>
          </w:tcPr>
          <w:p w14:paraId="0687E5DE" w14:textId="77777777" w:rsidR="00AA22C4" w:rsidRDefault="00AA22C4">
            <w:pPr>
              <w:rPr>
                <w:rFonts w:ascii="Arial" w:hAnsi="Arial" w:cs="Arial"/>
                <w:sz w:val="20"/>
                <w:szCs w:val="20"/>
              </w:rPr>
            </w:pPr>
            <w:r>
              <w:rPr>
                <w:rFonts w:ascii="Arial" w:hAnsi="Arial" w:cs="Arial"/>
                <w:sz w:val="20"/>
                <w:szCs w:val="20"/>
              </w:rPr>
              <w:t>Togo</w:t>
            </w:r>
          </w:p>
        </w:tc>
        <w:tc>
          <w:tcPr>
            <w:tcW w:w="2340" w:type="dxa"/>
            <w:tcBorders>
              <w:top w:val="nil"/>
              <w:left w:val="nil"/>
              <w:bottom w:val="single" w:sz="4" w:space="0" w:color="auto"/>
              <w:right w:val="single" w:sz="4" w:space="0" w:color="auto"/>
            </w:tcBorders>
            <w:noWrap/>
            <w:vAlign w:val="bottom"/>
            <w:hideMark/>
          </w:tcPr>
          <w:p w14:paraId="268A3C02"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59E1640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4DBB371" w14:textId="77777777" w:rsidR="00AA22C4" w:rsidRDefault="00AA22C4">
            <w:pPr>
              <w:jc w:val="center"/>
              <w:rPr>
                <w:rFonts w:ascii="Arial" w:hAnsi="Arial" w:cs="Arial"/>
                <w:sz w:val="20"/>
                <w:szCs w:val="20"/>
              </w:rPr>
            </w:pPr>
            <w:r>
              <w:rPr>
                <w:rFonts w:ascii="Arial" w:hAnsi="Arial" w:cs="Arial"/>
                <w:sz w:val="20"/>
                <w:szCs w:val="20"/>
              </w:rPr>
              <w:t>31</w:t>
            </w:r>
          </w:p>
        </w:tc>
        <w:tc>
          <w:tcPr>
            <w:tcW w:w="3265" w:type="dxa"/>
            <w:tcBorders>
              <w:top w:val="nil"/>
              <w:left w:val="nil"/>
              <w:bottom w:val="single" w:sz="4" w:space="0" w:color="auto"/>
              <w:right w:val="single" w:sz="4" w:space="0" w:color="auto"/>
            </w:tcBorders>
            <w:noWrap/>
            <w:vAlign w:val="bottom"/>
            <w:hideMark/>
          </w:tcPr>
          <w:p w14:paraId="2B7FFC53" w14:textId="77777777" w:rsidR="00AA22C4" w:rsidRDefault="00AA22C4">
            <w:pPr>
              <w:rPr>
                <w:rFonts w:ascii="Arial" w:hAnsi="Arial" w:cs="Arial"/>
                <w:sz w:val="20"/>
                <w:szCs w:val="20"/>
              </w:rPr>
            </w:pPr>
            <w:r>
              <w:rPr>
                <w:rFonts w:ascii="Arial" w:hAnsi="Arial" w:cs="Arial"/>
                <w:sz w:val="20"/>
                <w:szCs w:val="20"/>
              </w:rPr>
              <w:t>Tunisia</w:t>
            </w:r>
          </w:p>
        </w:tc>
        <w:tc>
          <w:tcPr>
            <w:tcW w:w="2340" w:type="dxa"/>
            <w:tcBorders>
              <w:top w:val="nil"/>
              <w:left w:val="nil"/>
              <w:bottom w:val="single" w:sz="4" w:space="0" w:color="auto"/>
              <w:right w:val="single" w:sz="4" w:space="0" w:color="auto"/>
            </w:tcBorders>
            <w:noWrap/>
            <w:vAlign w:val="bottom"/>
            <w:hideMark/>
          </w:tcPr>
          <w:p w14:paraId="67FFC2CF"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10BCB11C"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6C8334B" w14:textId="77777777" w:rsidR="00AA22C4" w:rsidRDefault="00AA22C4">
            <w:pPr>
              <w:jc w:val="center"/>
              <w:rPr>
                <w:rFonts w:ascii="Arial" w:hAnsi="Arial" w:cs="Arial"/>
                <w:sz w:val="20"/>
                <w:szCs w:val="20"/>
              </w:rPr>
            </w:pPr>
            <w:r>
              <w:rPr>
                <w:rFonts w:ascii="Arial" w:hAnsi="Arial" w:cs="Arial"/>
                <w:sz w:val="20"/>
                <w:szCs w:val="20"/>
              </w:rPr>
              <w:t>32</w:t>
            </w:r>
          </w:p>
        </w:tc>
        <w:tc>
          <w:tcPr>
            <w:tcW w:w="3265" w:type="dxa"/>
            <w:tcBorders>
              <w:top w:val="nil"/>
              <w:left w:val="nil"/>
              <w:bottom w:val="single" w:sz="4" w:space="0" w:color="auto"/>
              <w:right w:val="single" w:sz="4" w:space="0" w:color="auto"/>
            </w:tcBorders>
            <w:noWrap/>
            <w:vAlign w:val="bottom"/>
            <w:hideMark/>
          </w:tcPr>
          <w:p w14:paraId="3964A5A7" w14:textId="77777777" w:rsidR="00AA22C4" w:rsidRDefault="00AA22C4">
            <w:pPr>
              <w:rPr>
                <w:rFonts w:ascii="Arial" w:hAnsi="Arial" w:cs="Arial"/>
                <w:sz w:val="20"/>
                <w:szCs w:val="20"/>
              </w:rPr>
            </w:pPr>
            <w:r>
              <w:rPr>
                <w:rFonts w:ascii="Arial" w:hAnsi="Arial" w:cs="Arial"/>
                <w:sz w:val="20"/>
                <w:szCs w:val="20"/>
              </w:rPr>
              <w:t>Zambia</w:t>
            </w:r>
          </w:p>
        </w:tc>
        <w:tc>
          <w:tcPr>
            <w:tcW w:w="2340" w:type="dxa"/>
            <w:tcBorders>
              <w:top w:val="nil"/>
              <w:left w:val="nil"/>
              <w:bottom w:val="single" w:sz="4" w:space="0" w:color="auto"/>
              <w:right w:val="single" w:sz="4" w:space="0" w:color="auto"/>
            </w:tcBorders>
            <w:noWrap/>
            <w:vAlign w:val="bottom"/>
            <w:hideMark/>
          </w:tcPr>
          <w:p w14:paraId="6533D69A" w14:textId="77777777" w:rsidR="00AA22C4" w:rsidRDefault="00AA22C4">
            <w:pPr>
              <w:jc w:val="center"/>
              <w:rPr>
                <w:rFonts w:ascii="Arial" w:hAnsi="Arial" w:cs="Arial"/>
                <w:sz w:val="20"/>
                <w:szCs w:val="20"/>
              </w:rPr>
            </w:pPr>
            <w:r>
              <w:rPr>
                <w:rFonts w:ascii="Arial" w:hAnsi="Arial" w:cs="Arial"/>
                <w:sz w:val="20"/>
                <w:szCs w:val="20"/>
              </w:rPr>
              <w:t>Africa</w:t>
            </w:r>
          </w:p>
        </w:tc>
      </w:tr>
      <w:tr w:rsidR="00AA22C4" w14:paraId="3FB62812"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1E32683" w14:textId="77777777" w:rsidR="00AA22C4" w:rsidRDefault="00AA22C4">
            <w:pPr>
              <w:jc w:val="center"/>
              <w:rPr>
                <w:rFonts w:ascii="Arial" w:hAnsi="Arial" w:cs="Arial"/>
                <w:sz w:val="20"/>
                <w:szCs w:val="20"/>
              </w:rPr>
            </w:pPr>
            <w:r>
              <w:rPr>
                <w:rFonts w:ascii="Arial" w:hAnsi="Arial" w:cs="Arial"/>
                <w:sz w:val="20"/>
                <w:szCs w:val="20"/>
              </w:rPr>
              <w:t>33</w:t>
            </w:r>
          </w:p>
        </w:tc>
        <w:tc>
          <w:tcPr>
            <w:tcW w:w="3265" w:type="dxa"/>
            <w:tcBorders>
              <w:top w:val="nil"/>
              <w:left w:val="nil"/>
              <w:bottom w:val="single" w:sz="4" w:space="0" w:color="auto"/>
              <w:right w:val="single" w:sz="4" w:space="0" w:color="auto"/>
            </w:tcBorders>
            <w:noWrap/>
            <w:vAlign w:val="bottom"/>
            <w:hideMark/>
          </w:tcPr>
          <w:p w14:paraId="724930ED" w14:textId="77777777" w:rsidR="00AA22C4" w:rsidRDefault="00AA22C4">
            <w:pPr>
              <w:rPr>
                <w:rFonts w:ascii="Arial" w:hAnsi="Arial" w:cs="Arial"/>
                <w:sz w:val="20"/>
                <w:szCs w:val="20"/>
              </w:rPr>
            </w:pPr>
            <w:r>
              <w:rPr>
                <w:rFonts w:ascii="Arial" w:hAnsi="Arial" w:cs="Arial"/>
                <w:sz w:val="20"/>
                <w:szCs w:val="20"/>
              </w:rPr>
              <w:t>Bolivia</w:t>
            </w:r>
          </w:p>
        </w:tc>
        <w:tc>
          <w:tcPr>
            <w:tcW w:w="2340" w:type="dxa"/>
            <w:tcBorders>
              <w:top w:val="nil"/>
              <w:left w:val="nil"/>
              <w:bottom w:val="single" w:sz="4" w:space="0" w:color="auto"/>
              <w:right w:val="single" w:sz="4" w:space="0" w:color="auto"/>
            </w:tcBorders>
            <w:noWrap/>
            <w:vAlign w:val="bottom"/>
            <w:hideMark/>
          </w:tcPr>
          <w:p w14:paraId="7CE6DCEB"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0136490E"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A2C0864" w14:textId="77777777" w:rsidR="00AA22C4" w:rsidRDefault="00AA22C4">
            <w:pPr>
              <w:jc w:val="center"/>
              <w:rPr>
                <w:rFonts w:ascii="Arial" w:hAnsi="Arial" w:cs="Arial"/>
                <w:sz w:val="20"/>
                <w:szCs w:val="20"/>
              </w:rPr>
            </w:pPr>
            <w:r>
              <w:rPr>
                <w:rFonts w:ascii="Arial" w:hAnsi="Arial" w:cs="Arial"/>
                <w:sz w:val="20"/>
                <w:szCs w:val="20"/>
              </w:rPr>
              <w:t>34</w:t>
            </w:r>
          </w:p>
        </w:tc>
        <w:tc>
          <w:tcPr>
            <w:tcW w:w="3265" w:type="dxa"/>
            <w:tcBorders>
              <w:top w:val="nil"/>
              <w:left w:val="nil"/>
              <w:bottom w:val="single" w:sz="4" w:space="0" w:color="auto"/>
              <w:right w:val="single" w:sz="4" w:space="0" w:color="auto"/>
            </w:tcBorders>
            <w:noWrap/>
            <w:vAlign w:val="bottom"/>
            <w:hideMark/>
          </w:tcPr>
          <w:p w14:paraId="164AB39B" w14:textId="77777777" w:rsidR="00AA22C4" w:rsidRDefault="00AA22C4">
            <w:pPr>
              <w:rPr>
                <w:rFonts w:ascii="Arial" w:hAnsi="Arial" w:cs="Arial"/>
                <w:sz w:val="20"/>
                <w:szCs w:val="20"/>
              </w:rPr>
            </w:pPr>
            <w:r>
              <w:rPr>
                <w:rFonts w:ascii="Arial" w:hAnsi="Arial" w:cs="Arial"/>
                <w:sz w:val="20"/>
                <w:szCs w:val="20"/>
              </w:rPr>
              <w:t>Brazil</w:t>
            </w:r>
          </w:p>
        </w:tc>
        <w:tc>
          <w:tcPr>
            <w:tcW w:w="2340" w:type="dxa"/>
            <w:tcBorders>
              <w:top w:val="nil"/>
              <w:left w:val="nil"/>
              <w:bottom w:val="single" w:sz="4" w:space="0" w:color="auto"/>
              <w:right w:val="single" w:sz="4" w:space="0" w:color="auto"/>
            </w:tcBorders>
            <w:noWrap/>
            <w:vAlign w:val="bottom"/>
            <w:hideMark/>
          </w:tcPr>
          <w:p w14:paraId="4AD8FB87"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5B44F0D0"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A9D5DDA" w14:textId="77777777" w:rsidR="00AA22C4" w:rsidRDefault="00AA22C4">
            <w:pPr>
              <w:jc w:val="center"/>
              <w:rPr>
                <w:rFonts w:ascii="Arial" w:hAnsi="Arial" w:cs="Arial"/>
                <w:sz w:val="20"/>
                <w:szCs w:val="20"/>
              </w:rPr>
            </w:pPr>
            <w:r>
              <w:rPr>
                <w:rFonts w:ascii="Arial" w:hAnsi="Arial" w:cs="Arial"/>
                <w:sz w:val="20"/>
                <w:szCs w:val="20"/>
              </w:rPr>
              <w:t>35</w:t>
            </w:r>
          </w:p>
        </w:tc>
        <w:tc>
          <w:tcPr>
            <w:tcW w:w="3265" w:type="dxa"/>
            <w:tcBorders>
              <w:top w:val="nil"/>
              <w:left w:val="nil"/>
              <w:bottom w:val="single" w:sz="4" w:space="0" w:color="auto"/>
              <w:right w:val="single" w:sz="4" w:space="0" w:color="auto"/>
            </w:tcBorders>
            <w:noWrap/>
            <w:vAlign w:val="bottom"/>
            <w:hideMark/>
          </w:tcPr>
          <w:p w14:paraId="22263DC7" w14:textId="77777777" w:rsidR="00AA22C4" w:rsidRDefault="00AA22C4">
            <w:pPr>
              <w:rPr>
                <w:rFonts w:ascii="Arial" w:hAnsi="Arial" w:cs="Arial"/>
                <w:sz w:val="20"/>
                <w:szCs w:val="20"/>
              </w:rPr>
            </w:pPr>
            <w:r>
              <w:rPr>
                <w:rFonts w:ascii="Arial" w:hAnsi="Arial" w:cs="Arial"/>
                <w:sz w:val="20"/>
                <w:szCs w:val="20"/>
              </w:rPr>
              <w:t>Colombia</w:t>
            </w:r>
          </w:p>
        </w:tc>
        <w:tc>
          <w:tcPr>
            <w:tcW w:w="2340" w:type="dxa"/>
            <w:tcBorders>
              <w:top w:val="nil"/>
              <w:left w:val="nil"/>
              <w:bottom w:val="single" w:sz="4" w:space="0" w:color="auto"/>
              <w:right w:val="single" w:sz="4" w:space="0" w:color="auto"/>
            </w:tcBorders>
            <w:noWrap/>
            <w:vAlign w:val="bottom"/>
            <w:hideMark/>
          </w:tcPr>
          <w:p w14:paraId="301CC882"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2388286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ED74BFD" w14:textId="77777777" w:rsidR="00AA22C4" w:rsidRDefault="00AA22C4">
            <w:pPr>
              <w:jc w:val="center"/>
              <w:rPr>
                <w:rFonts w:ascii="Arial" w:hAnsi="Arial" w:cs="Arial"/>
                <w:sz w:val="20"/>
                <w:szCs w:val="20"/>
              </w:rPr>
            </w:pPr>
            <w:r>
              <w:rPr>
                <w:rFonts w:ascii="Arial" w:hAnsi="Arial" w:cs="Arial"/>
                <w:sz w:val="20"/>
                <w:szCs w:val="20"/>
              </w:rPr>
              <w:t>36</w:t>
            </w:r>
          </w:p>
        </w:tc>
        <w:tc>
          <w:tcPr>
            <w:tcW w:w="3265" w:type="dxa"/>
            <w:tcBorders>
              <w:top w:val="nil"/>
              <w:left w:val="nil"/>
              <w:bottom w:val="single" w:sz="4" w:space="0" w:color="auto"/>
              <w:right w:val="single" w:sz="4" w:space="0" w:color="auto"/>
            </w:tcBorders>
            <w:noWrap/>
            <w:vAlign w:val="bottom"/>
            <w:hideMark/>
          </w:tcPr>
          <w:p w14:paraId="248B2B23" w14:textId="77777777" w:rsidR="00AA22C4" w:rsidRDefault="00AA22C4">
            <w:pPr>
              <w:rPr>
                <w:rFonts w:ascii="Arial" w:hAnsi="Arial" w:cs="Arial"/>
                <w:sz w:val="20"/>
                <w:szCs w:val="20"/>
              </w:rPr>
            </w:pPr>
            <w:r>
              <w:rPr>
                <w:rFonts w:ascii="Arial" w:hAnsi="Arial" w:cs="Arial"/>
                <w:sz w:val="20"/>
                <w:szCs w:val="20"/>
              </w:rPr>
              <w:t>Costa Rica</w:t>
            </w:r>
          </w:p>
        </w:tc>
        <w:tc>
          <w:tcPr>
            <w:tcW w:w="2340" w:type="dxa"/>
            <w:tcBorders>
              <w:top w:val="nil"/>
              <w:left w:val="nil"/>
              <w:bottom w:val="single" w:sz="4" w:space="0" w:color="auto"/>
              <w:right w:val="single" w:sz="4" w:space="0" w:color="auto"/>
            </w:tcBorders>
            <w:noWrap/>
            <w:vAlign w:val="bottom"/>
            <w:hideMark/>
          </w:tcPr>
          <w:p w14:paraId="0A02ABDE"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52DF660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983FA6C" w14:textId="77777777" w:rsidR="00AA22C4" w:rsidRDefault="00AA22C4">
            <w:pPr>
              <w:jc w:val="center"/>
              <w:rPr>
                <w:rFonts w:ascii="Arial" w:hAnsi="Arial" w:cs="Arial"/>
                <w:sz w:val="20"/>
                <w:szCs w:val="20"/>
              </w:rPr>
            </w:pPr>
            <w:r>
              <w:rPr>
                <w:rFonts w:ascii="Arial" w:hAnsi="Arial" w:cs="Arial"/>
                <w:sz w:val="20"/>
                <w:szCs w:val="20"/>
              </w:rPr>
              <w:t>37</w:t>
            </w:r>
          </w:p>
        </w:tc>
        <w:tc>
          <w:tcPr>
            <w:tcW w:w="3265" w:type="dxa"/>
            <w:tcBorders>
              <w:top w:val="nil"/>
              <w:left w:val="nil"/>
              <w:bottom w:val="single" w:sz="4" w:space="0" w:color="auto"/>
              <w:right w:val="single" w:sz="4" w:space="0" w:color="auto"/>
            </w:tcBorders>
            <w:noWrap/>
            <w:vAlign w:val="bottom"/>
            <w:hideMark/>
          </w:tcPr>
          <w:p w14:paraId="172AE1BF" w14:textId="77777777" w:rsidR="00AA22C4" w:rsidRDefault="00AA22C4">
            <w:pPr>
              <w:rPr>
                <w:rFonts w:ascii="Arial" w:hAnsi="Arial" w:cs="Arial"/>
                <w:sz w:val="20"/>
                <w:szCs w:val="20"/>
              </w:rPr>
            </w:pPr>
            <w:r>
              <w:rPr>
                <w:rFonts w:ascii="Arial" w:hAnsi="Arial" w:cs="Arial"/>
                <w:sz w:val="20"/>
                <w:szCs w:val="20"/>
              </w:rPr>
              <w:t>Dominican Republic</w:t>
            </w:r>
          </w:p>
        </w:tc>
        <w:tc>
          <w:tcPr>
            <w:tcW w:w="2340" w:type="dxa"/>
            <w:tcBorders>
              <w:top w:val="nil"/>
              <w:left w:val="nil"/>
              <w:bottom w:val="single" w:sz="4" w:space="0" w:color="auto"/>
              <w:right w:val="single" w:sz="4" w:space="0" w:color="auto"/>
            </w:tcBorders>
            <w:noWrap/>
            <w:vAlign w:val="bottom"/>
            <w:hideMark/>
          </w:tcPr>
          <w:p w14:paraId="63230E10"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0017AAD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F5B3D04" w14:textId="77777777" w:rsidR="00AA22C4" w:rsidRDefault="00AA22C4">
            <w:pPr>
              <w:jc w:val="center"/>
              <w:rPr>
                <w:rFonts w:ascii="Arial" w:hAnsi="Arial" w:cs="Arial"/>
                <w:sz w:val="20"/>
                <w:szCs w:val="20"/>
              </w:rPr>
            </w:pPr>
            <w:r>
              <w:rPr>
                <w:rFonts w:ascii="Arial" w:hAnsi="Arial" w:cs="Arial"/>
                <w:sz w:val="20"/>
                <w:szCs w:val="20"/>
              </w:rPr>
              <w:t>38</w:t>
            </w:r>
          </w:p>
        </w:tc>
        <w:tc>
          <w:tcPr>
            <w:tcW w:w="3265" w:type="dxa"/>
            <w:tcBorders>
              <w:top w:val="nil"/>
              <w:left w:val="nil"/>
              <w:bottom w:val="single" w:sz="4" w:space="0" w:color="auto"/>
              <w:right w:val="single" w:sz="4" w:space="0" w:color="auto"/>
            </w:tcBorders>
            <w:noWrap/>
            <w:vAlign w:val="bottom"/>
            <w:hideMark/>
          </w:tcPr>
          <w:p w14:paraId="4A40AE0D" w14:textId="77777777" w:rsidR="00AA22C4" w:rsidRDefault="00AA22C4">
            <w:pPr>
              <w:rPr>
                <w:rFonts w:ascii="Arial" w:hAnsi="Arial" w:cs="Arial"/>
                <w:sz w:val="20"/>
                <w:szCs w:val="20"/>
              </w:rPr>
            </w:pPr>
            <w:r>
              <w:rPr>
                <w:rFonts w:ascii="Arial" w:hAnsi="Arial" w:cs="Arial"/>
                <w:sz w:val="20"/>
                <w:szCs w:val="20"/>
              </w:rPr>
              <w:t>Ecuador</w:t>
            </w:r>
          </w:p>
        </w:tc>
        <w:tc>
          <w:tcPr>
            <w:tcW w:w="2340" w:type="dxa"/>
            <w:tcBorders>
              <w:top w:val="nil"/>
              <w:left w:val="nil"/>
              <w:bottom w:val="single" w:sz="4" w:space="0" w:color="auto"/>
              <w:right w:val="single" w:sz="4" w:space="0" w:color="auto"/>
            </w:tcBorders>
            <w:noWrap/>
            <w:vAlign w:val="bottom"/>
            <w:hideMark/>
          </w:tcPr>
          <w:p w14:paraId="2E61FC45"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565748A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702211F" w14:textId="77777777" w:rsidR="00AA22C4" w:rsidRDefault="00AA22C4">
            <w:pPr>
              <w:jc w:val="center"/>
              <w:rPr>
                <w:rFonts w:ascii="Arial" w:hAnsi="Arial" w:cs="Arial"/>
                <w:sz w:val="20"/>
                <w:szCs w:val="20"/>
              </w:rPr>
            </w:pPr>
            <w:r>
              <w:rPr>
                <w:rFonts w:ascii="Arial" w:hAnsi="Arial" w:cs="Arial"/>
                <w:sz w:val="20"/>
                <w:szCs w:val="20"/>
              </w:rPr>
              <w:t>39</w:t>
            </w:r>
          </w:p>
        </w:tc>
        <w:tc>
          <w:tcPr>
            <w:tcW w:w="3265" w:type="dxa"/>
            <w:tcBorders>
              <w:top w:val="nil"/>
              <w:left w:val="nil"/>
              <w:bottom w:val="single" w:sz="4" w:space="0" w:color="auto"/>
              <w:right w:val="single" w:sz="4" w:space="0" w:color="auto"/>
            </w:tcBorders>
            <w:noWrap/>
            <w:vAlign w:val="bottom"/>
            <w:hideMark/>
          </w:tcPr>
          <w:p w14:paraId="17BD7762" w14:textId="77777777" w:rsidR="00AA22C4" w:rsidRDefault="00AA22C4">
            <w:pPr>
              <w:rPr>
                <w:rFonts w:ascii="Arial" w:hAnsi="Arial" w:cs="Arial"/>
                <w:sz w:val="20"/>
                <w:szCs w:val="20"/>
              </w:rPr>
            </w:pPr>
            <w:r>
              <w:rPr>
                <w:rFonts w:ascii="Arial" w:hAnsi="Arial" w:cs="Arial"/>
                <w:sz w:val="20"/>
                <w:szCs w:val="20"/>
              </w:rPr>
              <w:t>El Salvador</w:t>
            </w:r>
          </w:p>
        </w:tc>
        <w:tc>
          <w:tcPr>
            <w:tcW w:w="2340" w:type="dxa"/>
            <w:tcBorders>
              <w:top w:val="nil"/>
              <w:left w:val="nil"/>
              <w:bottom w:val="single" w:sz="4" w:space="0" w:color="auto"/>
              <w:right w:val="single" w:sz="4" w:space="0" w:color="auto"/>
            </w:tcBorders>
            <w:noWrap/>
            <w:vAlign w:val="bottom"/>
            <w:hideMark/>
          </w:tcPr>
          <w:p w14:paraId="5A99B8E6"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52494DD7"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D8A836F" w14:textId="77777777" w:rsidR="00AA22C4" w:rsidRDefault="00AA22C4">
            <w:pPr>
              <w:jc w:val="center"/>
              <w:rPr>
                <w:rFonts w:ascii="Arial" w:hAnsi="Arial" w:cs="Arial"/>
                <w:sz w:val="20"/>
                <w:szCs w:val="20"/>
              </w:rPr>
            </w:pPr>
            <w:r>
              <w:rPr>
                <w:rFonts w:ascii="Arial" w:hAnsi="Arial" w:cs="Arial"/>
                <w:sz w:val="20"/>
                <w:szCs w:val="20"/>
              </w:rPr>
              <w:t>40</w:t>
            </w:r>
          </w:p>
        </w:tc>
        <w:tc>
          <w:tcPr>
            <w:tcW w:w="3265" w:type="dxa"/>
            <w:tcBorders>
              <w:top w:val="nil"/>
              <w:left w:val="nil"/>
              <w:bottom w:val="single" w:sz="4" w:space="0" w:color="auto"/>
              <w:right w:val="single" w:sz="4" w:space="0" w:color="auto"/>
            </w:tcBorders>
            <w:noWrap/>
            <w:vAlign w:val="bottom"/>
            <w:hideMark/>
          </w:tcPr>
          <w:p w14:paraId="75E11A94" w14:textId="77777777" w:rsidR="00AA22C4" w:rsidRDefault="00AA22C4">
            <w:pPr>
              <w:rPr>
                <w:rFonts w:ascii="Arial" w:hAnsi="Arial" w:cs="Arial"/>
                <w:sz w:val="20"/>
                <w:szCs w:val="20"/>
              </w:rPr>
            </w:pPr>
            <w:r>
              <w:rPr>
                <w:rFonts w:ascii="Arial" w:hAnsi="Arial" w:cs="Arial"/>
                <w:sz w:val="20"/>
                <w:szCs w:val="20"/>
              </w:rPr>
              <w:t>Guatemala</w:t>
            </w:r>
          </w:p>
        </w:tc>
        <w:tc>
          <w:tcPr>
            <w:tcW w:w="2340" w:type="dxa"/>
            <w:tcBorders>
              <w:top w:val="nil"/>
              <w:left w:val="nil"/>
              <w:bottom w:val="single" w:sz="4" w:space="0" w:color="auto"/>
              <w:right w:val="single" w:sz="4" w:space="0" w:color="auto"/>
            </w:tcBorders>
            <w:noWrap/>
            <w:vAlign w:val="bottom"/>
            <w:hideMark/>
          </w:tcPr>
          <w:p w14:paraId="57C59746"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2BA5B3D2"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13C2325" w14:textId="77777777" w:rsidR="00AA22C4" w:rsidRDefault="00AA22C4">
            <w:pPr>
              <w:jc w:val="center"/>
              <w:rPr>
                <w:rFonts w:ascii="Arial" w:hAnsi="Arial" w:cs="Arial"/>
                <w:sz w:val="20"/>
                <w:szCs w:val="20"/>
              </w:rPr>
            </w:pPr>
            <w:r>
              <w:rPr>
                <w:rFonts w:ascii="Arial" w:hAnsi="Arial" w:cs="Arial"/>
                <w:sz w:val="20"/>
                <w:szCs w:val="20"/>
              </w:rPr>
              <w:t>41</w:t>
            </w:r>
          </w:p>
        </w:tc>
        <w:tc>
          <w:tcPr>
            <w:tcW w:w="3265" w:type="dxa"/>
            <w:tcBorders>
              <w:top w:val="nil"/>
              <w:left w:val="nil"/>
              <w:bottom w:val="single" w:sz="4" w:space="0" w:color="auto"/>
              <w:right w:val="single" w:sz="4" w:space="0" w:color="auto"/>
            </w:tcBorders>
            <w:noWrap/>
            <w:vAlign w:val="bottom"/>
            <w:hideMark/>
          </w:tcPr>
          <w:p w14:paraId="5B1D2DD0" w14:textId="77777777" w:rsidR="00AA22C4" w:rsidRDefault="00AA22C4">
            <w:pPr>
              <w:rPr>
                <w:rFonts w:ascii="Arial" w:hAnsi="Arial" w:cs="Arial"/>
                <w:sz w:val="20"/>
                <w:szCs w:val="20"/>
              </w:rPr>
            </w:pPr>
            <w:r>
              <w:rPr>
                <w:rFonts w:ascii="Arial" w:hAnsi="Arial" w:cs="Arial"/>
                <w:sz w:val="20"/>
                <w:szCs w:val="20"/>
              </w:rPr>
              <w:t>Guyana</w:t>
            </w:r>
          </w:p>
        </w:tc>
        <w:tc>
          <w:tcPr>
            <w:tcW w:w="2340" w:type="dxa"/>
            <w:tcBorders>
              <w:top w:val="nil"/>
              <w:left w:val="nil"/>
              <w:bottom w:val="single" w:sz="4" w:space="0" w:color="auto"/>
              <w:right w:val="single" w:sz="4" w:space="0" w:color="auto"/>
            </w:tcBorders>
            <w:noWrap/>
            <w:vAlign w:val="bottom"/>
            <w:hideMark/>
          </w:tcPr>
          <w:p w14:paraId="09736992"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4B04EF6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0EF05875" w14:textId="77777777" w:rsidR="00AA22C4" w:rsidRDefault="00AA22C4">
            <w:pPr>
              <w:jc w:val="center"/>
              <w:rPr>
                <w:rFonts w:ascii="Arial" w:hAnsi="Arial" w:cs="Arial"/>
                <w:sz w:val="20"/>
                <w:szCs w:val="20"/>
              </w:rPr>
            </w:pPr>
            <w:r>
              <w:rPr>
                <w:rFonts w:ascii="Arial" w:hAnsi="Arial" w:cs="Arial"/>
                <w:sz w:val="20"/>
                <w:szCs w:val="20"/>
              </w:rPr>
              <w:t>42</w:t>
            </w:r>
          </w:p>
        </w:tc>
        <w:tc>
          <w:tcPr>
            <w:tcW w:w="3265" w:type="dxa"/>
            <w:tcBorders>
              <w:top w:val="nil"/>
              <w:left w:val="nil"/>
              <w:bottom w:val="single" w:sz="4" w:space="0" w:color="auto"/>
              <w:right w:val="single" w:sz="4" w:space="0" w:color="auto"/>
            </w:tcBorders>
            <w:noWrap/>
            <w:vAlign w:val="bottom"/>
            <w:hideMark/>
          </w:tcPr>
          <w:p w14:paraId="357E39D3" w14:textId="77777777" w:rsidR="00AA22C4" w:rsidRDefault="00AA22C4">
            <w:pPr>
              <w:rPr>
                <w:rFonts w:ascii="Arial" w:hAnsi="Arial" w:cs="Arial"/>
                <w:sz w:val="20"/>
                <w:szCs w:val="20"/>
              </w:rPr>
            </w:pPr>
            <w:r>
              <w:rPr>
                <w:rFonts w:ascii="Arial" w:hAnsi="Arial" w:cs="Arial"/>
                <w:sz w:val="20"/>
                <w:szCs w:val="20"/>
              </w:rPr>
              <w:t>Honduras</w:t>
            </w:r>
          </w:p>
        </w:tc>
        <w:tc>
          <w:tcPr>
            <w:tcW w:w="2340" w:type="dxa"/>
            <w:tcBorders>
              <w:top w:val="nil"/>
              <w:left w:val="nil"/>
              <w:bottom w:val="single" w:sz="4" w:space="0" w:color="auto"/>
              <w:right w:val="single" w:sz="4" w:space="0" w:color="auto"/>
            </w:tcBorders>
            <w:noWrap/>
            <w:vAlign w:val="bottom"/>
            <w:hideMark/>
          </w:tcPr>
          <w:p w14:paraId="467D2BC5"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751B97C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761C752" w14:textId="77777777" w:rsidR="00AA22C4" w:rsidRDefault="00AA22C4">
            <w:pPr>
              <w:jc w:val="center"/>
              <w:rPr>
                <w:rFonts w:ascii="Arial" w:hAnsi="Arial" w:cs="Arial"/>
                <w:sz w:val="20"/>
                <w:szCs w:val="20"/>
              </w:rPr>
            </w:pPr>
            <w:r>
              <w:rPr>
                <w:rFonts w:ascii="Arial" w:hAnsi="Arial" w:cs="Arial"/>
                <w:sz w:val="20"/>
                <w:szCs w:val="20"/>
              </w:rPr>
              <w:t>43</w:t>
            </w:r>
          </w:p>
        </w:tc>
        <w:tc>
          <w:tcPr>
            <w:tcW w:w="3265" w:type="dxa"/>
            <w:tcBorders>
              <w:top w:val="nil"/>
              <w:left w:val="nil"/>
              <w:bottom w:val="single" w:sz="4" w:space="0" w:color="auto"/>
              <w:right w:val="single" w:sz="4" w:space="0" w:color="auto"/>
            </w:tcBorders>
            <w:noWrap/>
            <w:vAlign w:val="bottom"/>
            <w:hideMark/>
          </w:tcPr>
          <w:p w14:paraId="1D285A66" w14:textId="77777777" w:rsidR="00AA22C4" w:rsidRDefault="00AA22C4">
            <w:pPr>
              <w:rPr>
                <w:rFonts w:ascii="Arial" w:hAnsi="Arial" w:cs="Arial"/>
                <w:sz w:val="20"/>
                <w:szCs w:val="20"/>
              </w:rPr>
            </w:pPr>
            <w:r>
              <w:rPr>
                <w:rFonts w:ascii="Arial" w:hAnsi="Arial" w:cs="Arial"/>
                <w:sz w:val="20"/>
                <w:szCs w:val="20"/>
              </w:rPr>
              <w:t>Jamaica</w:t>
            </w:r>
          </w:p>
        </w:tc>
        <w:tc>
          <w:tcPr>
            <w:tcW w:w="2340" w:type="dxa"/>
            <w:tcBorders>
              <w:top w:val="nil"/>
              <w:left w:val="nil"/>
              <w:bottom w:val="single" w:sz="4" w:space="0" w:color="auto"/>
              <w:right w:val="single" w:sz="4" w:space="0" w:color="auto"/>
            </w:tcBorders>
            <w:noWrap/>
            <w:vAlign w:val="bottom"/>
            <w:hideMark/>
          </w:tcPr>
          <w:p w14:paraId="3020CB14"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30F7D032"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E9B9600" w14:textId="77777777" w:rsidR="00AA22C4" w:rsidRDefault="00AA22C4">
            <w:pPr>
              <w:jc w:val="center"/>
              <w:rPr>
                <w:rFonts w:ascii="Arial" w:hAnsi="Arial" w:cs="Arial"/>
                <w:sz w:val="20"/>
                <w:szCs w:val="20"/>
              </w:rPr>
            </w:pPr>
            <w:r>
              <w:rPr>
                <w:rFonts w:ascii="Arial" w:hAnsi="Arial" w:cs="Arial"/>
                <w:sz w:val="20"/>
                <w:szCs w:val="20"/>
              </w:rPr>
              <w:t>44</w:t>
            </w:r>
          </w:p>
        </w:tc>
        <w:tc>
          <w:tcPr>
            <w:tcW w:w="3265" w:type="dxa"/>
            <w:tcBorders>
              <w:top w:val="nil"/>
              <w:left w:val="nil"/>
              <w:bottom w:val="single" w:sz="4" w:space="0" w:color="auto"/>
              <w:right w:val="single" w:sz="4" w:space="0" w:color="auto"/>
            </w:tcBorders>
            <w:noWrap/>
            <w:vAlign w:val="bottom"/>
            <w:hideMark/>
          </w:tcPr>
          <w:p w14:paraId="71D641A8" w14:textId="77777777" w:rsidR="00AA22C4" w:rsidRDefault="00AA22C4">
            <w:pPr>
              <w:rPr>
                <w:rFonts w:ascii="Arial" w:hAnsi="Arial" w:cs="Arial"/>
                <w:sz w:val="20"/>
                <w:szCs w:val="20"/>
              </w:rPr>
            </w:pPr>
            <w:r>
              <w:rPr>
                <w:rFonts w:ascii="Arial" w:hAnsi="Arial" w:cs="Arial"/>
                <w:sz w:val="20"/>
                <w:szCs w:val="20"/>
              </w:rPr>
              <w:t>Mexico</w:t>
            </w:r>
          </w:p>
        </w:tc>
        <w:tc>
          <w:tcPr>
            <w:tcW w:w="2340" w:type="dxa"/>
            <w:tcBorders>
              <w:top w:val="nil"/>
              <w:left w:val="nil"/>
              <w:bottom w:val="single" w:sz="4" w:space="0" w:color="auto"/>
              <w:right w:val="single" w:sz="4" w:space="0" w:color="auto"/>
            </w:tcBorders>
            <w:noWrap/>
            <w:vAlign w:val="bottom"/>
            <w:hideMark/>
          </w:tcPr>
          <w:p w14:paraId="43A1CB0F"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2516CD4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DFAEE86" w14:textId="77777777" w:rsidR="00AA22C4" w:rsidRDefault="00AA22C4">
            <w:pPr>
              <w:jc w:val="center"/>
              <w:rPr>
                <w:rFonts w:ascii="Arial" w:hAnsi="Arial" w:cs="Arial"/>
                <w:sz w:val="20"/>
                <w:szCs w:val="20"/>
              </w:rPr>
            </w:pPr>
            <w:r>
              <w:rPr>
                <w:rFonts w:ascii="Arial" w:hAnsi="Arial" w:cs="Arial"/>
                <w:sz w:val="20"/>
                <w:szCs w:val="20"/>
              </w:rPr>
              <w:lastRenderedPageBreak/>
              <w:t>45</w:t>
            </w:r>
          </w:p>
        </w:tc>
        <w:tc>
          <w:tcPr>
            <w:tcW w:w="3265" w:type="dxa"/>
            <w:tcBorders>
              <w:top w:val="nil"/>
              <w:left w:val="nil"/>
              <w:bottom w:val="single" w:sz="4" w:space="0" w:color="auto"/>
              <w:right w:val="single" w:sz="4" w:space="0" w:color="auto"/>
            </w:tcBorders>
            <w:noWrap/>
            <w:vAlign w:val="bottom"/>
            <w:hideMark/>
          </w:tcPr>
          <w:p w14:paraId="0E9D54CA" w14:textId="77777777" w:rsidR="00AA22C4" w:rsidRDefault="00AA22C4">
            <w:pPr>
              <w:rPr>
                <w:rFonts w:ascii="Arial" w:hAnsi="Arial" w:cs="Arial"/>
                <w:sz w:val="20"/>
                <w:szCs w:val="20"/>
              </w:rPr>
            </w:pPr>
            <w:r>
              <w:rPr>
                <w:rFonts w:ascii="Arial" w:hAnsi="Arial" w:cs="Arial"/>
                <w:sz w:val="20"/>
                <w:szCs w:val="20"/>
              </w:rPr>
              <w:t>Paraguay</w:t>
            </w:r>
          </w:p>
        </w:tc>
        <w:tc>
          <w:tcPr>
            <w:tcW w:w="2340" w:type="dxa"/>
            <w:tcBorders>
              <w:top w:val="nil"/>
              <w:left w:val="nil"/>
              <w:bottom w:val="single" w:sz="4" w:space="0" w:color="auto"/>
              <w:right w:val="single" w:sz="4" w:space="0" w:color="auto"/>
            </w:tcBorders>
            <w:noWrap/>
            <w:vAlign w:val="bottom"/>
            <w:hideMark/>
          </w:tcPr>
          <w:p w14:paraId="44CA6F26"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38F428A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6CD4F9D" w14:textId="77777777" w:rsidR="00AA22C4" w:rsidRDefault="00AA22C4">
            <w:pPr>
              <w:jc w:val="center"/>
              <w:rPr>
                <w:rFonts w:ascii="Arial" w:hAnsi="Arial" w:cs="Arial"/>
                <w:sz w:val="20"/>
                <w:szCs w:val="20"/>
              </w:rPr>
            </w:pPr>
            <w:r>
              <w:rPr>
                <w:rFonts w:ascii="Arial" w:hAnsi="Arial" w:cs="Arial"/>
                <w:sz w:val="20"/>
                <w:szCs w:val="20"/>
              </w:rPr>
              <w:t>46</w:t>
            </w:r>
          </w:p>
        </w:tc>
        <w:tc>
          <w:tcPr>
            <w:tcW w:w="3265" w:type="dxa"/>
            <w:tcBorders>
              <w:top w:val="nil"/>
              <w:left w:val="nil"/>
              <w:bottom w:val="single" w:sz="4" w:space="0" w:color="auto"/>
              <w:right w:val="single" w:sz="4" w:space="0" w:color="auto"/>
            </w:tcBorders>
            <w:noWrap/>
            <w:vAlign w:val="bottom"/>
            <w:hideMark/>
          </w:tcPr>
          <w:p w14:paraId="3D7436CB" w14:textId="77777777" w:rsidR="00AA22C4" w:rsidRDefault="00AA22C4">
            <w:pPr>
              <w:rPr>
                <w:rFonts w:ascii="Arial" w:hAnsi="Arial" w:cs="Arial"/>
                <w:sz w:val="20"/>
                <w:szCs w:val="20"/>
              </w:rPr>
            </w:pPr>
            <w:r>
              <w:rPr>
                <w:rFonts w:ascii="Arial" w:hAnsi="Arial" w:cs="Arial"/>
                <w:sz w:val="20"/>
                <w:szCs w:val="20"/>
              </w:rPr>
              <w:t>Peru</w:t>
            </w:r>
          </w:p>
        </w:tc>
        <w:tc>
          <w:tcPr>
            <w:tcW w:w="2340" w:type="dxa"/>
            <w:tcBorders>
              <w:top w:val="nil"/>
              <w:left w:val="nil"/>
              <w:bottom w:val="single" w:sz="4" w:space="0" w:color="auto"/>
              <w:right w:val="single" w:sz="4" w:space="0" w:color="auto"/>
            </w:tcBorders>
            <w:noWrap/>
            <w:vAlign w:val="bottom"/>
            <w:hideMark/>
          </w:tcPr>
          <w:p w14:paraId="2E66CDDB"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23DB0402"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09C9075C" w14:textId="77777777" w:rsidR="00AA22C4" w:rsidRDefault="00AA22C4">
            <w:pPr>
              <w:jc w:val="center"/>
              <w:rPr>
                <w:rFonts w:ascii="Arial" w:hAnsi="Arial" w:cs="Arial"/>
                <w:sz w:val="20"/>
                <w:szCs w:val="20"/>
              </w:rPr>
            </w:pPr>
            <w:r>
              <w:rPr>
                <w:rFonts w:ascii="Arial" w:hAnsi="Arial" w:cs="Arial"/>
                <w:sz w:val="20"/>
                <w:szCs w:val="20"/>
              </w:rPr>
              <w:t>47</w:t>
            </w:r>
          </w:p>
        </w:tc>
        <w:tc>
          <w:tcPr>
            <w:tcW w:w="3265" w:type="dxa"/>
            <w:tcBorders>
              <w:top w:val="nil"/>
              <w:left w:val="nil"/>
              <w:bottom w:val="single" w:sz="4" w:space="0" w:color="auto"/>
              <w:right w:val="single" w:sz="4" w:space="0" w:color="auto"/>
            </w:tcBorders>
            <w:noWrap/>
            <w:vAlign w:val="bottom"/>
            <w:hideMark/>
          </w:tcPr>
          <w:p w14:paraId="002C02BB" w14:textId="77777777" w:rsidR="00AA22C4" w:rsidRDefault="00AA22C4">
            <w:pPr>
              <w:rPr>
                <w:rFonts w:ascii="Arial" w:hAnsi="Arial" w:cs="Arial"/>
                <w:sz w:val="20"/>
                <w:szCs w:val="20"/>
              </w:rPr>
            </w:pPr>
            <w:r>
              <w:rPr>
                <w:rFonts w:ascii="Arial" w:hAnsi="Arial" w:cs="Arial"/>
                <w:sz w:val="20"/>
                <w:szCs w:val="20"/>
              </w:rPr>
              <w:t>Suriname</w:t>
            </w:r>
          </w:p>
        </w:tc>
        <w:tc>
          <w:tcPr>
            <w:tcW w:w="2340" w:type="dxa"/>
            <w:tcBorders>
              <w:top w:val="nil"/>
              <w:left w:val="nil"/>
              <w:bottom w:val="single" w:sz="4" w:space="0" w:color="auto"/>
              <w:right w:val="single" w:sz="4" w:space="0" w:color="auto"/>
            </w:tcBorders>
            <w:noWrap/>
            <w:vAlign w:val="bottom"/>
            <w:hideMark/>
          </w:tcPr>
          <w:p w14:paraId="33717D27"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25AD09F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435837D" w14:textId="77777777" w:rsidR="00AA22C4" w:rsidRDefault="00AA22C4">
            <w:pPr>
              <w:jc w:val="center"/>
              <w:rPr>
                <w:rFonts w:ascii="Arial" w:hAnsi="Arial" w:cs="Arial"/>
                <w:sz w:val="20"/>
                <w:szCs w:val="20"/>
              </w:rPr>
            </w:pPr>
            <w:r>
              <w:rPr>
                <w:rFonts w:ascii="Arial" w:hAnsi="Arial" w:cs="Arial"/>
                <w:sz w:val="20"/>
                <w:szCs w:val="20"/>
              </w:rPr>
              <w:t>48</w:t>
            </w:r>
          </w:p>
        </w:tc>
        <w:tc>
          <w:tcPr>
            <w:tcW w:w="3265" w:type="dxa"/>
            <w:tcBorders>
              <w:top w:val="nil"/>
              <w:left w:val="nil"/>
              <w:bottom w:val="single" w:sz="4" w:space="0" w:color="auto"/>
              <w:right w:val="single" w:sz="4" w:space="0" w:color="auto"/>
            </w:tcBorders>
            <w:noWrap/>
            <w:vAlign w:val="bottom"/>
            <w:hideMark/>
          </w:tcPr>
          <w:p w14:paraId="3402262E" w14:textId="77777777" w:rsidR="00AA22C4" w:rsidRDefault="00AA22C4">
            <w:pPr>
              <w:rPr>
                <w:rFonts w:ascii="Arial" w:hAnsi="Arial" w:cs="Arial"/>
                <w:sz w:val="20"/>
                <w:szCs w:val="20"/>
              </w:rPr>
            </w:pPr>
            <w:r>
              <w:rPr>
                <w:rFonts w:ascii="Arial" w:hAnsi="Arial" w:cs="Arial"/>
                <w:sz w:val="20"/>
                <w:szCs w:val="20"/>
              </w:rPr>
              <w:t>Uruguay</w:t>
            </w:r>
          </w:p>
        </w:tc>
        <w:tc>
          <w:tcPr>
            <w:tcW w:w="2340" w:type="dxa"/>
            <w:tcBorders>
              <w:top w:val="nil"/>
              <w:left w:val="nil"/>
              <w:bottom w:val="single" w:sz="4" w:space="0" w:color="auto"/>
              <w:right w:val="single" w:sz="4" w:space="0" w:color="auto"/>
            </w:tcBorders>
            <w:noWrap/>
            <w:vAlign w:val="bottom"/>
            <w:hideMark/>
          </w:tcPr>
          <w:p w14:paraId="517F8F66" w14:textId="77777777" w:rsidR="00AA22C4" w:rsidRDefault="00AA22C4">
            <w:pPr>
              <w:jc w:val="center"/>
              <w:rPr>
                <w:rFonts w:ascii="Arial" w:hAnsi="Arial" w:cs="Arial"/>
                <w:sz w:val="20"/>
                <w:szCs w:val="20"/>
              </w:rPr>
            </w:pPr>
            <w:r>
              <w:rPr>
                <w:rFonts w:ascii="Arial" w:hAnsi="Arial" w:cs="Arial"/>
                <w:sz w:val="20"/>
                <w:szCs w:val="20"/>
              </w:rPr>
              <w:t>America</w:t>
            </w:r>
          </w:p>
        </w:tc>
      </w:tr>
      <w:tr w:rsidR="00AA22C4" w14:paraId="0FB24DB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A64B86C" w14:textId="77777777" w:rsidR="00AA22C4" w:rsidRDefault="00AA22C4">
            <w:pPr>
              <w:jc w:val="center"/>
              <w:rPr>
                <w:rFonts w:ascii="Arial" w:hAnsi="Arial" w:cs="Arial"/>
                <w:sz w:val="20"/>
                <w:szCs w:val="20"/>
              </w:rPr>
            </w:pPr>
            <w:r>
              <w:rPr>
                <w:rFonts w:ascii="Arial" w:hAnsi="Arial" w:cs="Arial"/>
                <w:sz w:val="20"/>
                <w:szCs w:val="20"/>
              </w:rPr>
              <w:t>49</w:t>
            </w:r>
          </w:p>
        </w:tc>
        <w:tc>
          <w:tcPr>
            <w:tcW w:w="3265" w:type="dxa"/>
            <w:tcBorders>
              <w:top w:val="nil"/>
              <w:left w:val="nil"/>
              <w:bottom w:val="single" w:sz="4" w:space="0" w:color="auto"/>
              <w:right w:val="single" w:sz="4" w:space="0" w:color="auto"/>
            </w:tcBorders>
            <w:noWrap/>
            <w:vAlign w:val="bottom"/>
            <w:hideMark/>
          </w:tcPr>
          <w:p w14:paraId="05040A10" w14:textId="77777777" w:rsidR="00AA22C4" w:rsidRDefault="00AA22C4">
            <w:pPr>
              <w:rPr>
                <w:rFonts w:ascii="Arial" w:hAnsi="Arial" w:cs="Arial"/>
                <w:sz w:val="20"/>
                <w:szCs w:val="20"/>
              </w:rPr>
            </w:pPr>
            <w:r>
              <w:rPr>
                <w:rFonts w:ascii="Arial" w:hAnsi="Arial" w:cs="Arial"/>
                <w:sz w:val="20"/>
                <w:szCs w:val="20"/>
              </w:rPr>
              <w:t>Azerbaijan</w:t>
            </w:r>
          </w:p>
        </w:tc>
        <w:tc>
          <w:tcPr>
            <w:tcW w:w="2340" w:type="dxa"/>
            <w:tcBorders>
              <w:top w:val="nil"/>
              <w:left w:val="nil"/>
              <w:bottom w:val="single" w:sz="4" w:space="0" w:color="auto"/>
              <w:right w:val="single" w:sz="4" w:space="0" w:color="auto"/>
            </w:tcBorders>
            <w:noWrap/>
            <w:vAlign w:val="bottom"/>
            <w:hideMark/>
          </w:tcPr>
          <w:p w14:paraId="0702C0FD"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71158D79"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65CABAA" w14:textId="77777777" w:rsidR="00AA22C4" w:rsidRDefault="00AA22C4">
            <w:pPr>
              <w:jc w:val="center"/>
              <w:rPr>
                <w:rFonts w:ascii="Arial" w:hAnsi="Arial" w:cs="Arial"/>
                <w:sz w:val="20"/>
                <w:szCs w:val="20"/>
              </w:rPr>
            </w:pPr>
            <w:r>
              <w:rPr>
                <w:rFonts w:ascii="Arial" w:hAnsi="Arial" w:cs="Arial"/>
                <w:sz w:val="20"/>
                <w:szCs w:val="20"/>
              </w:rPr>
              <w:t>50</w:t>
            </w:r>
          </w:p>
        </w:tc>
        <w:tc>
          <w:tcPr>
            <w:tcW w:w="3265" w:type="dxa"/>
            <w:tcBorders>
              <w:top w:val="nil"/>
              <w:left w:val="nil"/>
              <w:bottom w:val="single" w:sz="4" w:space="0" w:color="auto"/>
              <w:right w:val="single" w:sz="4" w:space="0" w:color="auto"/>
            </w:tcBorders>
            <w:noWrap/>
            <w:vAlign w:val="bottom"/>
            <w:hideMark/>
          </w:tcPr>
          <w:p w14:paraId="6C328374" w14:textId="77777777" w:rsidR="00AA22C4" w:rsidRDefault="00AA22C4">
            <w:pPr>
              <w:rPr>
                <w:rFonts w:ascii="Arial" w:hAnsi="Arial" w:cs="Arial"/>
                <w:sz w:val="20"/>
                <w:szCs w:val="20"/>
              </w:rPr>
            </w:pPr>
            <w:r>
              <w:rPr>
                <w:rFonts w:ascii="Arial" w:hAnsi="Arial" w:cs="Arial"/>
                <w:sz w:val="20"/>
                <w:szCs w:val="20"/>
              </w:rPr>
              <w:t>Bangladesh</w:t>
            </w:r>
          </w:p>
        </w:tc>
        <w:tc>
          <w:tcPr>
            <w:tcW w:w="2340" w:type="dxa"/>
            <w:tcBorders>
              <w:top w:val="nil"/>
              <w:left w:val="nil"/>
              <w:bottom w:val="single" w:sz="4" w:space="0" w:color="auto"/>
              <w:right w:val="single" w:sz="4" w:space="0" w:color="auto"/>
            </w:tcBorders>
            <w:noWrap/>
            <w:vAlign w:val="bottom"/>
            <w:hideMark/>
          </w:tcPr>
          <w:p w14:paraId="68E9EC27"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3FC4173E"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2E15E14" w14:textId="77777777" w:rsidR="00AA22C4" w:rsidRDefault="00AA22C4">
            <w:pPr>
              <w:jc w:val="center"/>
              <w:rPr>
                <w:rFonts w:ascii="Arial" w:hAnsi="Arial" w:cs="Arial"/>
                <w:sz w:val="20"/>
                <w:szCs w:val="20"/>
              </w:rPr>
            </w:pPr>
            <w:r>
              <w:rPr>
                <w:rFonts w:ascii="Arial" w:hAnsi="Arial" w:cs="Arial"/>
                <w:sz w:val="20"/>
                <w:szCs w:val="20"/>
              </w:rPr>
              <w:t>51</w:t>
            </w:r>
          </w:p>
        </w:tc>
        <w:tc>
          <w:tcPr>
            <w:tcW w:w="3265" w:type="dxa"/>
            <w:tcBorders>
              <w:top w:val="nil"/>
              <w:left w:val="nil"/>
              <w:bottom w:val="single" w:sz="4" w:space="0" w:color="auto"/>
              <w:right w:val="single" w:sz="4" w:space="0" w:color="auto"/>
            </w:tcBorders>
            <w:noWrap/>
            <w:vAlign w:val="bottom"/>
            <w:hideMark/>
          </w:tcPr>
          <w:p w14:paraId="7AE320AB" w14:textId="77777777" w:rsidR="00AA22C4" w:rsidRDefault="00AA22C4">
            <w:pPr>
              <w:rPr>
                <w:rFonts w:ascii="Arial" w:hAnsi="Arial" w:cs="Arial"/>
                <w:sz w:val="20"/>
                <w:szCs w:val="20"/>
              </w:rPr>
            </w:pPr>
            <w:r>
              <w:rPr>
                <w:rFonts w:ascii="Arial" w:hAnsi="Arial" w:cs="Arial"/>
                <w:sz w:val="20"/>
                <w:szCs w:val="20"/>
              </w:rPr>
              <w:t>Cambodia</w:t>
            </w:r>
          </w:p>
        </w:tc>
        <w:tc>
          <w:tcPr>
            <w:tcW w:w="2340" w:type="dxa"/>
            <w:tcBorders>
              <w:top w:val="nil"/>
              <w:left w:val="nil"/>
              <w:bottom w:val="single" w:sz="4" w:space="0" w:color="auto"/>
              <w:right w:val="single" w:sz="4" w:space="0" w:color="auto"/>
            </w:tcBorders>
            <w:noWrap/>
            <w:vAlign w:val="bottom"/>
            <w:hideMark/>
          </w:tcPr>
          <w:p w14:paraId="7669468A"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1D292606"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0BC69C8" w14:textId="77777777" w:rsidR="00AA22C4" w:rsidRDefault="00AA22C4">
            <w:pPr>
              <w:jc w:val="center"/>
              <w:rPr>
                <w:rFonts w:ascii="Arial" w:hAnsi="Arial" w:cs="Arial"/>
                <w:sz w:val="20"/>
                <w:szCs w:val="20"/>
              </w:rPr>
            </w:pPr>
            <w:r>
              <w:rPr>
                <w:rFonts w:ascii="Arial" w:hAnsi="Arial" w:cs="Arial"/>
                <w:sz w:val="20"/>
                <w:szCs w:val="20"/>
              </w:rPr>
              <w:t>52</w:t>
            </w:r>
          </w:p>
        </w:tc>
        <w:tc>
          <w:tcPr>
            <w:tcW w:w="3265" w:type="dxa"/>
            <w:tcBorders>
              <w:top w:val="nil"/>
              <w:left w:val="nil"/>
              <w:bottom w:val="single" w:sz="4" w:space="0" w:color="auto"/>
              <w:right w:val="single" w:sz="4" w:space="0" w:color="auto"/>
            </w:tcBorders>
            <w:noWrap/>
            <w:vAlign w:val="bottom"/>
            <w:hideMark/>
          </w:tcPr>
          <w:p w14:paraId="373309B4" w14:textId="77777777" w:rsidR="00AA22C4" w:rsidRDefault="00AA22C4">
            <w:pPr>
              <w:rPr>
                <w:rFonts w:ascii="Arial" w:hAnsi="Arial" w:cs="Arial"/>
                <w:sz w:val="20"/>
                <w:szCs w:val="20"/>
              </w:rPr>
            </w:pPr>
            <w:r>
              <w:rPr>
                <w:rFonts w:ascii="Arial" w:hAnsi="Arial" w:cs="Arial"/>
                <w:sz w:val="20"/>
                <w:szCs w:val="20"/>
              </w:rPr>
              <w:t>China</w:t>
            </w:r>
          </w:p>
        </w:tc>
        <w:tc>
          <w:tcPr>
            <w:tcW w:w="2340" w:type="dxa"/>
            <w:tcBorders>
              <w:top w:val="nil"/>
              <w:left w:val="nil"/>
              <w:bottom w:val="single" w:sz="4" w:space="0" w:color="auto"/>
              <w:right w:val="single" w:sz="4" w:space="0" w:color="auto"/>
            </w:tcBorders>
            <w:noWrap/>
            <w:vAlign w:val="bottom"/>
            <w:hideMark/>
          </w:tcPr>
          <w:p w14:paraId="3C081562"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1691C92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EA46A5A" w14:textId="77777777" w:rsidR="00AA22C4" w:rsidRDefault="00AA22C4">
            <w:pPr>
              <w:jc w:val="center"/>
              <w:rPr>
                <w:rFonts w:ascii="Arial" w:hAnsi="Arial" w:cs="Arial"/>
                <w:sz w:val="20"/>
                <w:szCs w:val="20"/>
              </w:rPr>
            </w:pPr>
            <w:r>
              <w:rPr>
                <w:rFonts w:ascii="Arial" w:hAnsi="Arial" w:cs="Arial"/>
                <w:sz w:val="20"/>
                <w:szCs w:val="20"/>
              </w:rPr>
              <w:t>53</w:t>
            </w:r>
          </w:p>
        </w:tc>
        <w:tc>
          <w:tcPr>
            <w:tcW w:w="3265" w:type="dxa"/>
            <w:tcBorders>
              <w:top w:val="nil"/>
              <w:left w:val="nil"/>
              <w:bottom w:val="single" w:sz="4" w:space="0" w:color="auto"/>
              <w:right w:val="single" w:sz="4" w:space="0" w:color="auto"/>
            </w:tcBorders>
            <w:noWrap/>
            <w:vAlign w:val="bottom"/>
            <w:hideMark/>
          </w:tcPr>
          <w:p w14:paraId="1490E50D" w14:textId="77777777" w:rsidR="00AA22C4" w:rsidRDefault="00AA22C4">
            <w:pPr>
              <w:rPr>
                <w:rFonts w:ascii="Arial" w:hAnsi="Arial" w:cs="Arial"/>
                <w:sz w:val="20"/>
                <w:szCs w:val="20"/>
              </w:rPr>
            </w:pPr>
            <w:r>
              <w:rPr>
                <w:rFonts w:ascii="Arial" w:hAnsi="Arial" w:cs="Arial"/>
                <w:sz w:val="20"/>
                <w:szCs w:val="20"/>
              </w:rPr>
              <w:t>India</w:t>
            </w:r>
          </w:p>
        </w:tc>
        <w:tc>
          <w:tcPr>
            <w:tcW w:w="2340" w:type="dxa"/>
            <w:tcBorders>
              <w:top w:val="nil"/>
              <w:left w:val="nil"/>
              <w:bottom w:val="single" w:sz="4" w:space="0" w:color="auto"/>
              <w:right w:val="single" w:sz="4" w:space="0" w:color="auto"/>
            </w:tcBorders>
            <w:noWrap/>
            <w:vAlign w:val="bottom"/>
            <w:hideMark/>
          </w:tcPr>
          <w:p w14:paraId="15AFDBD9"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53A39729"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1DFD023" w14:textId="77777777" w:rsidR="00AA22C4" w:rsidRDefault="00AA22C4">
            <w:pPr>
              <w:jc w:val="center"/>
              <w:rPr>
                <w:rFonts w:ascii="Arial" w:hAnsi="Arial" w:cs="Arial"/>
                <w:sz w:val="20"/>
                <w:szCs w:val="20"/>
              </w:rPr>
            </w:pPr>
            <w:r>
              <w:rPr>
                <w:rFonts w:ascii="Arial" w:hAnsi="Arial" w:cs="Arial"/>
                <w:sz w:val="20"/>
                <w:szCs w:val="20"/>
              </w:rPr>
              <w:t>54</w:t>
            </w:r>
          </w:p>
        </w:tc>
        <w:tc>
          <w:tcPr>
            <w:tcW w:w="3265" w:type="dxa"/>
            <w:tcBorders>
              <w:top w:val="nil"/>
              <w:left w:val="nil"/>
              <w:bottom w:val="single" w:sz="4" w:space="0" w:color="auto"/>
              <w:right w:val="single" w:sz="4" w:space="0" w:color="auto"/>
            </w:tcBorders>
            <w:noWrap/>
            <w:vAlign w:val="bottom"/>
            <w:hideMark/>
          </w:tcPr>
          <w:p w14:paraId="3240B42B" w14:textId="77777777" w:rsidR="00AA22C4" w:rsidRDefault="00AA22C4">
            <w:pPr>
              <w:rPr>
                <w:rFonts w:ascii="Arial" w:hAnsi="Arial" w:cs="Arial"/>
                <w:sz w:val="20"/>
                <w:szCs w:val="20"/>
              </w:rPr>
            </w:pPr>
            <w:r>
              <w:rPr>
                <w:rFonts w:ascii="Arial" w:hAnsi="Arial" w:cs="Arial"/>
                <w:sz w:val="20"/>
                <w:szCs w:val="20"/>
              </w:rPr>
              <w:t>Indonesia</w:t>
            </w:r>
          </w:p>
        </w:tc>
        <w:tc>
          <w:tcPr>
            <w:tcW w:w="2340" w:type="dxa"/>
            <w:tcBorders>
              <w:top w:val="nil"/>
              <w:left w:val="nil"/>
              <w:bottom w:val="single" w:sz="4" w:space="0" w:color="auto"/>
              <w:right w:val="single" w:sz="4" w:space="0" w:color="auto"/>
            </w:tcBorders>
            <w:noWrap/>
            <w:vAlign w:val="bottom"/>
            <w:hideMark/>
          </w:tcPr>
          <w:p w14:paraId="774CAD5C"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73D25C45"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5EAD9BC" w14:textId="77777777" w:rsidR="00AA22C4" w:rsidRDefault="00AA22C4">
            <w:pPr>
              <w:jc w:val="center"/>
              <w:rPr>
                <w:rFonts w:ascii="Arial" w:hAnsi="Arial" w:cs="Arial"/>
                <w:sz w:val="20"/>
                <w:szCs w:val="20"/>
              </w:rPr>
            </w:pPr>
            <w:r>
              <w:rPr>
                <w:rFonts w:ascii="Arial" w:hAnsi="Arial" w:cs="Arial"/>
                <w:sz w:val="20"/>
                <w:szCs w:val="20"/>
              </w:rPr>
              <w:t>55</w:t>
            </w:r>
          </w:p>
        </w:tc>
        <w:tc>
          <w:tcPr>
            <w:tcW w:w="3265" w:type="dxa"/>
            <w:tcBorders>
              <w:top w:val="nil"/>
              <w:left w:val="nil"/>
              <w:bottom w:val="single" w:sz="4" w:space="0" w:color="auto"/>
              <w:right w:val="single" w:sz="4" w:space="0" w:color="auto"/>
            </w:tcBorders>
            <w:noWrap/>
            <w:vAlign w:val="bottom"/>
            <w:hideMark/>
          </w:tcPr>
          <w:p w14:paraId="5DAFD2F8" w14:textId="77777777" w:rsidR="00AA22C4" w:rsidRDefault="00AA22C4">
            <w:pPr>
              <w:rPr>
                <w:rFonts w:ascii="Arial" w:hAnsi="Arial" w:cs="Arial"/>
                <w:sz w:val="20"/>
                <w:szCs w:val="20"/>
              </w:rPr>
            </w:pPr>
            <w:r>
              <w:rPr>
                <w:rFonts w:ascii="Arial" w:hAnsi="Arial" w:cs="Arial"/>
                <w:sz w:val="20"/>
                <w:szCs w:val="20"/>
              </w:rPr>
              <w:t>Jordan</w:t>
            </w:r>
          </w:p>
        </w:tc>
        <w:tc>
          <w:tcPr>
            <w:tcW w:w="2340" w:type="dxa"/>
            <w:tcBorders>
              <w:top w:val="nil"/>
              <w:left w:val="nil"/>
              <w:bottom w:val="single" w:sz="4" w:space="0" w:color="auto"/>
              <w:right w:val="single" w:sz="4" w:space="0" w:color="auto"/>
            </w:tcBorders>
            <w:noWrap/>
            <w:vAlign w:val="bottom"/>
            <w:hideMark/>
          </w:tcPr>
          <w:p w14:paraId="3D3D4D7C"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77AB77B7"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82AB52E" w14:textId="77777777" w:rsidR="00AA22C4" w:rsidRDefault="00AA22C4">
            <w:pPr>
              <w:jc w:val="center"/>
              <w:rPr>
                <w:rFonts w:ascii="Arial" w:hAnsi="Arial" w:cs="Arial"/>
                <w:sz w:val="20"/>
                <w:szCs w:val="20"/>
              </w:rPr>
            </w:pPr>
            <w:r>
              <w:rPr>
                <w:rFonts w:ascii="Arial" w:hAnsi="Arial" w:cs="Arial"/>
                <w:sz w:val="20"/>
                <w:szCs w:val="20"/>
              </w:rPr>
              <w:t>56</w:t>
            </w:r>
          </w:p>
        </w:tc>
        <w:tc>
          <w:tcPr>
            <w:tcW w:w="3265" w:type="dxa"/>
            <w:tcBorders>
              <w:top w:val="nil"/>
              <w:left w:val="nil"/>
              <w:bottom w:val="single" w:sz="4" w:space="0" w:color="auto"/>
              <w:right w:val="single" w:sz="4" w:space="0" w:color="auto"/>
            </w:tcBorders>
            <w:noWrap/>
            <w:vAlign w:val="bottom"/>
            <w:hideMark/>
          </w:tcPr>
          <w:p w14:paraId="49759820" w14:textId="77777777" w:rsidR="00AA22C4" w:rsidRDefault="00AA22C4">
            <w:pPr>
              <w:rPr>
                <w:rFonts w:ascii="Arial" w:hAnsi="Arial" w:cs="Arial"/>
                <w:sz w:val="20"/>
                <w:szCs w:val="20"/>
              </w:rPr>
            </w:pPr>
            <w:r>
              <w:rPr>
                <w:rFonts w:ascii="Arial" w:hAnsi="Arial" w:cs="Arial"/>
                <w:sz w:val="20"/>
                <w:szCs w:val="20"/>
              </w:rPr>
              <w:t>Kyrgyz Republic</w:t>
            </w:r>
          </w:p>
        </w:tc>
        <w:tc>
          <w:tcPr>
            <w:tcW w:w="2340" w:type="dxa"/>
            <w:tcBorders>
              <w:top w:val="nil"/>
              <w:left w:val="nil"/>
              <w:bottom w:val="single" w:sz="4" w:space="0" w:color="auto"/>
              <w:right w:val="single" w:sz="4" w:space="0" w:color="auto"/>
            </w:tcBorders>
            <w:noWrap/>
            <w:vAlign w:val="bottom"/>
            <w:hideMark/>
          </w:tcPr>
          <w:p w14:paraId="3F59EB7A"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22C63FAE"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081CA3DD" w14:textId="77777777" w:rsidR="00AA22C4" w:rsidRDefault="00AA22C4">
            <w:pPr>
              <w:jc w:val="center"/>
              <w:rPr>
                <w:rFonts w:ascii="Arial" w:hAnsi="Arial" w:cs="Arial"/>
                <w:sz w:val="20"/>
                <w:szCs w:val="20"/>
              </w:rPr>
            </w:pPr>
            <w:r>
              <w:rPr>
                <w:rFonts w:ascii="Arial" w:hAnsi="Arial" w:cs="Arial"/>
                <w:sz w:val="20"/>
                <w:szCs w:val="20"/>
              </w:rPr>
              <w:t>57</w:t>
            </w:r>
          </w:p>
        </w:tc>
        <w:tc>
          <w:tcPr>
            <w:tcW w:w="3265" w:type="dxa"/>
            <w:tcBorders>
              <w:top w:val="nil"/>
              <w:left w:val="nil"/>
              <w:bottom w:val="single" w:sz="4" w:space="0" w:color="auto"/>
              <w:right w:val="single" w:sz="4" w:space="0" w:color="auto"/>
            </w:tcBorders>
            <w:noWrap/>
            <w:vAlign w:val="bottom"/>
            <w:hideMark/>
          </w:tcPr>
          <w:p w14:paraId="4DC71CD7" w14:textId="77777777" w:rsidR="00AA22C4" w:rsidRDefault="00AA22C4">
            <w:pPr>
              <w:rPr>
                <w:rFonts w:ascii="Arial" w:hAnsi="Arial" w:cs="Arial"/>
                <w:sz w:val="20"/>
                <w:szCs w:val="20"/>
              </w:rPr>
            </w:pPr>
            <w:r>
              <w:rPr>
                <w:rFonts w:ascii="Arial" w:hAnsi="Arial" w:cs="Arial"/>
                <w:sz w:val="20"/>
                <w:szCs w:val="20"/>
              </w:rPr>
              <w:t>Laos</w:t>
            </w:r>
          </w:p>
        </w:tc>
        <w:tc>
          <w:tcPr>
            <w:tcW w:w="2340" w:type="dxa"/>
            <w:tcBorders>
              <w:top w:val="nil"/>
              <w:left w:val="nil"/>
              <w:bottom w:val="single" w:sz="4" w:space="0" w:color="auto"/>
              <w:right w:val="single" w:sz="4" w:space="0" w:color="auto"/>
            </w:tcBorders>
            <w:noWrap/>
            <w:vAlign w:val="bottom"/>
            <w:hideMark/>
          </w:tcPr>
          <w:p w14:paraId="6AAA4FDA"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46697CA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A85B5C0" w14:textId="77777777" w:rsidR="00AA22C4" w:rsidRDefault="00AA22C4">
            <w:pPr>
              <w:jc w:val="center"/>
              <w:rPr>
                <w:rFonts w:ascii="Arial" w:hAnsi="Arial" w:cs="Arial"/>
                <w:sz w:val="20"/>
                <w:szCs w:val="20"/>
              </w:rPr>
            </w:pPr>
            <w:r>
              <w:rPr>
                <w:rFonts w:ascii="Arial" w:hAnsi="Arial" w:cs="Arial"/>
                <w:sz w:val="20"/>
                <w:szCs w:val="20"/>
              </w:rPr>
              <w:t>58</w:t>
            </w:r>
          </w:p>
        </w:tc>
        <w:tc>
          <w:tcPr>
            <w:tcW w:w="3265" w:type="dxa"/>
            <w:tcBorders>
              <w:top w:val="nil"/>
              <w:left w:val="nil"/>
              <w:bottom w:val="single" w:sz="4" w:space="0" w:color="auto"/>
              <w:right w:val="single" w:sz="4" w:space="0" w:color="auto"/>
            </w:tcBorders>
            <w:noWrap/>
            <w:vAlign w:val="bottom"/>
            <w:hideMark/>
          </w:tcPr>
          <w:p w14:paraId="669A61C9" w14:textId="77777777" w:rsidR="00AA22C4" w:rsidRDefault="00AA22C4">
            <w:pPr>
              <w:rPr>
                <w:rFonts w:ascii="Arial" w:hAnsi="Arial" w:cs="Arial"/>
                <w:sz w:val="20"/>
                <w:szCs w:val="20"/>
              </w:rPr>
            </w:pPr>
            <w:r>
              <w:rPr>
                <w:rFonts w:ascii="Arial" w:hAnsi="Arial" w:cs="Arial"/>
                <w:sz w:val="20"/>
                <w:szCs w:val="20"/>
              </w:rPr>
              <w:t>Mongolia</w:t>
            </w:r>
          </w:p>
        </w:tc>
        <w:tc>
          <w:tcPr>
            <w:tcW w:w="2340" w:type="dxa"/>
            <w:tcBorders>
              <w:top w:val="nil"/>
              <w:left w:val="nil"/>
              <w:bottom w:val="single" w:sz="4" w:space="0" w:color="auto"/>
              <w:right w:val="single" w:sz="4" w:space="0" w:color="auto"/>
            </w:tcBorders>
            <w:noWrap/>
            <w:vAlign w:val="bottom"/>
            <w:hideMark/>
          </w:tcPr>
          <w:p w14:paraId="4BA65075"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5320299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7E119CB" w14:textId="77777777" w:rsidR="00AA22C4" w:rsidRDefault="00AA22C4">
            <w:pPr>
              <w:jc w:val="center"/>
              <w:rPr>
                <w:rFonts w:ascii="Arial" w:hAnsi="Arial" w:cs="Arial"/>
                <w:sz w:val="20"/>
                <w:szCs w:val="20"/>
              </w:rPr>
            </w:pPr>
            <w:r>
              <w:rPr>
                <w:rFonts w:ascii="Arial" w:hAnsi="Arial" w:cs="Arial"/>
                <w:sz w:val="20"/>
                <w:szCs w:val="20"/>
              </w:rPr>
              <w:t>59</w:t>
            </w:r>
          </w:p>
        </w:tc>
        <w:tc>
          <w:tcPr>
            <w:tcW w:w="3265" w:type="dxa"/>
            <w:tcBorders>
              <w:top w:val="nil"/>
              <w:left w:val="nil"/>
              <w:bottom w:val="single" w:sz="4" w:space="0" w:color="auto"/>
              <w:right w:val="single" w:sz="4" w:space="0" w:color="auto"/>
            </w:tcBorders>
            <w:noWrap/>
            <w:vAlign w:val="bottom"/>
            <w:hideMark/>
          </w:tcPr>
          <w:p w14:paraId="71A760E0" w14:textId="77777777" w:rsidR="00AA22C4" w:rsidRDefault="00AA22C4">
            <w:pPr>
              <w:rPr>
                <w:rFonts w:ascii="Arial" w:hAnsi="Arial" w:cs="Arial"/>
                <w:sz w:val="20"/>
                <w:szCs w:val="20"/>
              </w:rPr>
            </w:pPr>
            <w:r>
              <w:rPr>
                <w:rFonts w:ascii="Arial" w:hAnsi="Arial" w:cs="Arial"/>
                <w:sz w:val="20"/>
                <w:szCs w:val="20"/>
              </w:rPr>
              <w:t>Nepal</w:t>
            </w:r>
          </w:p>
        </w:tc>
        <w:tc>
          <w:tcPr>
            <w:tcW w:w="2340" w:type="dxa"/>
            <w:tcBorders>
              <w:top w:val="nil"/>
              <w:left w:val="nil"/>
              <w:bottom w:val="single" w:sz="4" w:space="0" w:color="auto"/>
              <w:right w:val="single" w:sz="4" w:space="0" w:color="auto"/>
            </w:tcBorders>
            <w:noWrap/>
            <w:vAlign w:val="bottom"/>
            <w:hideMark/>
          </w:tcPr>
          <w:p w14:paraId="3D3C734D"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46C37C9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3E9414E" w14:textId="77777777" w:rsidR="00AA22C4" w:rsidRDefault="00AA22C4">
            <w:pPr>
              <w:jc w:val="center"/>
              <w:rPr>
                <w:rFonts w:ascii="Arial" w:hAnsi="Arial" w:cs="Arial"/>
                <w:sz w:val="20"/>
                <w:szCs w:val="20"/>
              </w:rPr>
            </w:pPr>
            <w:r>
              <w:rPr>
                <w:rFonts w:ascii="Arial" w:hAnsi="Arial" w:cs="Arial"/>
                <w:sz w:val="20"/>
                <w:szCs w:val="20"/>
              </w:rPr>
              <w:t>60</w:t>
            </w:r>
          </w:p>
        </w:tc>
        <w:tc>
          <w:tcPr>
            <w:tcW w:w="3265" w:type="dxa"/>
            <w:tcBorders>
              <w:top w:val="nil"/>
              <w:left w:val="nil"/>
              <w:bottom w:val="single" w:sz="4" w:space="0" w:color="auto"/>
              <w:right w:val="single" w:sz="4" w:space="0" w:color="auto"/>
            </w:tcBorders>
            <w:noWrap/>
            <w:vAlign w:val="bottom"/>
            <w:hideMark/>
          </w:tcPr>
          <w:p w14:paraId="767B1BEF" w14:textId="77777777" w:rsidR="00AA22C4" w:rsidRDefault="00AA22C4">
            <w:pPr>
              <w:rPr>
                <w:rFonts w:ascii="Arial" w:hAnsi="Arial" w:cs="Arial"/>
                <w:sz w:val="20"/>
                <w:szCs w:val="20"/>
              </w:rPr>
            </w:pPr>
            <w:r>
              <w:rPr>
                <w:rFonts w:ascii="Arial" w:hAnsi="Arial" w:cs="Arial"/>
                <w:sz w:val="20"/>
                <w:szCs w:val="20"/>
              </w:rPr>
              <w:t>Pakistan</w:t>
            </w:r>
          </w:p>
        </w:tc>
        <w:tc>
          <w:tcPr>
            <w:tcW w:w="2340" w:type="dxa"/>
            <w:tcBorders>
              <w:top w:val="nil"/>
              <w:left w:val="nil"/>
              <w:bottom w:val="single" w:sz="4" w:space="0" w:color="auto"/>
              <w:right w:val="single" w:sz="4" w:space="0" w:color="auto"/>
            </w:tcBorders>
            <w:noWrap/>
            <w:vAlign w:val="bottom"/>
            <w:hideMark/>
          </w:tcPr>
          <w:p w14:paraId="6BEB8E6B"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693324AC"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54902923" w14:textId="77777777" w:rsidR="00AA22C4" w:rsidRDefault="00AA22C4">
            <w:pPr>
              <w:jc w:val="center"/>
              <w:rPr>
                <w:rFonts w:ascii="Arial" w:hAnsi="Arial" w:cs="Arial"/>
                <w:sz w:val="20"/>
                <w:szCs w:val="20"/>
              </w:rPr>
            </w:pPr>
            <w:r>
              <w:rPr>
                <w:rFonts w:ascii="Arial" w:hAnsi="Arial" w:cs="Arial"/>
                <w:sz w:val="20"/>
                <w:szCs w:val="20"/>
              </w:rPr>
              <w:t>61</w:t>
            </w:r>
          </w:p>
        </w:tc>
        <w:tc>
          <w:tcPr>
            <w:tcW w:w="3265" w:type="dxa"/>
            <w:tcBorders>
              <w:top w:val="nil"/>
              <w:left w:val="nil"/>
              <w:bottom w:val="single" w:sz="4" w:space="0" w:color="auto"/>
              <w:right w:val="single" w:sz="4" w:space="0" w:color="auto"/>
            </w:tcBorders>
            <w:noWrap/>
            <w:vAlign w:val="bottom"/>
            <w:hideMark/>
          </w:tcPr>
          <w:p w14:paraId="398713F5" w14:textId="77777777" w:rsidR="00AA22C4" w:rsidRDefault="00AA22C4">
            <w:pPr>
              <w:rPr>
                <w:rFonts w:ascii="Arial" w:hAnsi="Arial" w:cs="Arial"/>
                <w:sz w:val="20"/>
                <w:szCs w:val="20"/>
              </w:rPr>
            </w:pPr>
            <w:r>
              <w:rPr>
                <w:rFonts w:ascii="Arial" w:hAnsi="Arial" w:cs="Arial"/>
                <w:sz w:val="20"/>
                <w:szCs w:val="20"/>
              </w:rPr>
              <w:t>Philippines</w:t>
            </w:r>
          </w:p>
        </w:tc>
        <w:tc>
          <w:tcPr>
            <w:tcW w:w="2340" w:type="dxa"/>
            <w:tcBorders>
              <w:top w:val="nil"/>
              <w:left w:val="nil"/>
              <w:bottom w:val="single" w:sz="4" w:space="0" w:color="auto"/>
              <w:right w:val="single" w:sz="4" w:space="0" w:color="auto"/>
            </w:tcBorders>
            <w:noWrap/>
            <w:vAlign w:val="bottom"/>
            <w:hideMark/>
          </w:tcPr>
          <w:p w14:paraId="0E157B98"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1C07995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A12CC00" w14:textId="77777777" w:rsidR="00AA22C4" w:rsidRDefault="00AA22C4">
            <w:pPr>
              <w:jc w:val="center"/>
              <w:rPr>
                <w:rFonts w:ascii="Arial" w:hAnsi="Arial" w:cs="Arial"/>
                <w:sz w:val="20"/>
                <w:szCs w:val="20"/>
              </w:rPr>
            </w:pPr>
            <w:r>
              <w:rPr>
                <w:rFonts w:ascii="Arial" w:hAnsi="Arial" w:cs="Arial"/>
                <w:sz w:val="20"/>
                <w:szCs w:val="20"/>
              </w:rPr>
              <w:t>62</w:t>
            </w:r>
          </w:p>
        </w:tc>
        <w:tc>
          <w:tcPr>
            <w:tcW w:w="3265" w:type="dxa"/>
            <w:tcBorders>
              <w:top w:val="nil"/>
              <w:left w:val="nil"/>
              <w:bottom w:val="single" w:sz="4" w:space="0" w:color="auto"/>
              <w:right w:val="single" w:sz="4" w:space="0" w:color="auto"/>
            </w:tcBorders>
            <w:noWrap/>
            <w:vAlign w:val="bottom"/>
            <w:hideMark/>
          </w:tcPr>
          <w:p w14:paraId="6E28FCF4" w14:textId="77777777" w:rsidR="00AA22C4" w:rsidRDefault="00AA22C4">
            <w:pPr>
              <w:rPr>
                <w:rFonts w:ascii="Arial" w:hAnsi="Arial" w:cs="Arial"/>
                <w:sz w:val="20"/>
                <w:szCs w:val="20"/>
              </w:rPr>
            </w:pPr>
            <w:r>
              <w:rPr>
                <w:rFonts w:ascii="Arial" w:hAnsi="Arial" w:cs="Arial"/>
                <w:sz w:val="20"/>
                <w:szCs w:val="20"/>
              </w:rPr>
              <w:t>Tajikistan</w:t>
            </w:r>
          </w:p>
        </w:tc>
        <w:tc>
          <w:tcPr>
            <w:tcW w:w="2340" w:type="dxa"/>
            <w:tcBorders>
              <w:top w:val="nil"/>
              <w:left w:val="nil"/>
              <w:bottom w:val="single" w:sz="4" w:space="0" w:color="auto"/>
              <w:right w:val="single" w:sz="4" w:space="0" w:color="auto"/>
            </w:tcBorders>
            <w:noWrap/>
            <w:vAlign w:val="bottom"/>
            <w:hideMark/>
          </w:tcPr>
          <w:p w14:paraId="357D1E7E"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7598E048"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A93A3EE" w14:textId="77777777" w:rsidR="00AA22C4" w:rsidRDefault="00AA22C4">
            <w:pPr>
              <w:jc w:val="center"/>
              <w:rPr>
                <w:rFonts w:ascii="Arial" w:hAnsi="Arial" w:cs="Arial"/>
                <w:sz w:val="20"/>
                <w:szCs w:val="20"/>
              </w:rPr>
            </w:pPr>
            <w:r>
              <w:rPr>
                <w:rFonts w:ascii="Arial" w:hAnsi="Arial" w:cs="Arial"/>
                <w:sz w:val="20"/>
                <w:szCs w:val="20"/>
              </w:rPr>
              <w:t>63</w:t>
            </w:r>
          </w:p>
        </w:tc>
        <w:tc>
          <w:tcPr>
            <w:tcW w:w="3265" w:type="dxa"/>
            <w:tcBorders>
              <w:top w:val="nil"/>
              <w:left w:val="nil"/>
              <w:bottom w:val="single" w:sz="4" w:space="0" w:color="auto"/>
              <w:right w:val="single" w:sz="4" w:space="0" w:color="auto"/>
            </w:tcBorders>
            <w:noWrap/>
            <w:vAlign w:val="bottom"/>
            <w:hideMark/>
          </w:tcPr>
          <w:p w14:paraId="3D04DA2C" w14:textId="77777777" w:rsidR="00AA22C4" w:rsidRDefault="00AA22C4">
            <w:pPr>
              <w:rPr>
                <w:rFonts w:ascii="Arial" w:hAnsi="Arial" w:cs="Arial"/>
                <w:sz w:val="20"/>
                <w:szCs w:val="20"/>
              </w:rPr>
            </w:pPr>
            <w:r>
              <w:rPr>
                <w:rFonts w:ascii="Arial" w:hAnsi="Arial" w:cs="Arial"/>
                <w:sz w:val="20"/>
                <w:szCs w:val="20"/>
              </w:rPr>
              <w:t>Thailand</w:t>
            </w:r>
          </w:p>
        </w:tc>
        <w:tc>
          <w:tcPr>
            <w:tcW w:w="2340" w:type="dxa"/>
            <w:tcBorders>
              <w:top w:val="nil"/>
              <w:left w:val="nil"/>
              <w:bottom w:val="single" w:sz="4" w:space="0" w:color="auto"/>
              <w:right w:val="single" w:sz="4" w:space="0" w:color="auto"/>
            </w:tcBorders>
            <w:noWrap/>
            <w:vAlign w:val="bottom"/>
            <w:hideMark/>
          </w:tcPr>
          <w:p w14:paraId="7E32955C"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2B70DC7F"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04E11FB9" w14:textId="77777777" w:rsidR="00AA22C4" w:rsidRDefault="00AA22C4">
            <w:pPr>
              <w:jc w:val="center"/>
              <w:rPr>
                <w:rFonts w:ascii="Arial" w:hAnsi="Arial" w:cs="Arial"/>
                <w:sz w:val="20"/>
                <w:szCs w:val="20"/>
              </w:rPr>
            </w:pPr>
            <w:r>
              <w:rPr>
                <w:rFonts w:ascii="Arial" w:hAnsi="Arial" w:cs="Arial"/>
                <w:sz w:val="20"/>
                <w:szCs w:val="20"/>
              </w:rPr>
              <w:t>64</w:t>
            </w:r>
          </w:p>
        </w:tc>
        <w:tc>
          <w:tcPr>
            <w:tcW w:w="3265" w:type="dxa"/>
            <w:tcBorders>
              <w:top w:val="nil"/>
              <w:left w:val="nil"/>
              <w:bottom w:val="single" w:sz="4" w:space="0" w:color="auto"/>
              <w:right w:val="single" w:sz="4" w:space="0" w:color="auto"/>
            </w:tcBorders>
            <w:noWrap/>
            <w:vAlign w:val="bottom"/>
            <w:hideMark/>
          </w:tcPr>
          <w:p w14:paraId="4B8AAF88" w14:textId="77777777" w:rsidR="00AA22C4" w:rsidRDefault="00AA22C4">
            <w:pPr>
              <w:rPr>
                <w:rFonts w:ascii="Arial" w:hAnsi="Arial" w:cs="Arial"/>
                <w:sz w:val="20"/>
                <w:szCs w:val="20"/>
              </w:rPr>
            </w:pPr>
            <w:r>
              <w:rPr>
                <w:rFonts w:ascii="Arial" w:hAnsi="Arial" w:cs="Arial"/>
                <w:sz w:val="20"/>
                <w:szCs w:val="20"/>
              </w:rPr>
              <w:t>Timor-Leste</w:t>
            </w:r>
          </w:p>
        </w:tc>
        <w:tc>
          <w:tcPr>
            <w:tcW w:w="2340" w:type="dxa"/>
            <w:tcBorders>
              <w:top w:val="nil"/>
              <w:left w:val="nil"/>
              <w:bottom w:val="single" w:sz="4" w:space="0" w:color="auto"/>
              <w:right w:val="single" w:sz="4" w:space="0" w:color="auto"/>
            </w:tcBorders>
            <w:noWrap/>
            <w:vAlign w:val="bottom"/>
            <w:hideMark/>
          </w:tcPr>
          <w:p w14:paraId="227CDE82"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7EDDE006"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3C7C19D" w14:textId="77777777" w:rsidR="00AA22C4" w:rsidRDefault="00AA22C4">
            <w:pPr>
              <w:jc w:val="center"/>
              <w:rPr>
                <w:rFonts w:ascii="Arial" w:hAnsi="Arial" w:cs="Arial"/>
                <w:sz w:val="20"/>
                <w:szCs w:val="20"/>
              </w:rPr>
            </w:pPr>
            <w:r>
              <w:rPr>
                <w:rFonts w:ascii="Arial" w:hAnsi="Arial" w:cs="Arial"/>
                <w:sz w:val="20"/>
                <w:szCs w:val="20"/>
              </w:rPr>
              <w:t>65</w:t>
            </w:r>
          </w:p>
        </w:tc>
        <w:tc>
          <w:tcPr>
            <w:tcW w:w="3265" w:type="dxa"/>
            <w:tcBorders>
              <w:top w:val="nil"/>
              <w:left w:val="nil"/>
              <w:bottom w:val="single" w:sz="4" w:space="0" w:color="auto"/>
              <w:right w:val="single" w:sz="4" w:space="0" w:color="auto"/>
            </w:tcBorders>
            <w:noWrap/>
            <w:vAlign w:val="bottom"/>
            <w:hideMark/>
          </w:tcPr>
          <w:p w14:paraId="415B76D5" w14:textId="77777777" w:rsidR="00AA22C4" w:rsidRDefault="00AA22C4">
            <w:pPr>
              <w:rPr>
                <w:rFonts w:ascii="Arial" w:hAnsi="Arial" w:cs="Arial"/>
                <w:sz w:val="20"/>
                <w:szCs w:val="20"/>
              </w:rPr>
            </w:pPr>
            <w:r>
              <w:rPr>
                <w:rFonts w:ascii="Arial" w:hAnsi="Arial" w:cs="Arial"/>
                <w:sz w:val="20"/>
                <w:szCs w:val="20"/>
              </w:rPr>
              <w:t>Vietnam</w:t>
            </w:r>
          </w:p>
        </w:tc>
        <w:tc>
          <w:tcPr>
            <w:tcW w:w="2340" w:type="dxa"/>
            <w:tcBorders>
              <w:top w:val="nil"/>
              <w:left w:val="nil"/>
              <w:bottom w:val="single" w:sz="4" w:space="0" w:color="auto"/>
              <w:right w:val="single" w:sz="4" w:space="0" w:color="auto"/>
            </w:tcBorders>
            <w:noWrap/>
            <w:vAlign w:val="bottom"/>
            <w:hideMark/>
          </w:tcPr>
          <w:p w14:paraId="6CEA9833" w14:textId="77777777" w:rsidR="00AA22C4" w:rsidRDefault="00AA22C4">
            <w:pPr>
              <w:jc w:val="center"/>
              <w:rPr>
                <w:rFonts w:ascii="Arial" w:hAnsi="Arial" w:cs="Arial"/>
                <w:sz w:val="20"/>
                <w:szCs w:val="20"/>
              </w:rPr>
            </w:pPr>
            <w:r>
              <w:rPr>
                <w:rFonts w:ascii="Arial" w:hAnsi="Arial" w:cs="Arial"/>
                <w:sz w:val="20"/>
                <w:szCs w:val="20"/>
              </w:rPr>
              <w:t>Asia</w:t>
            </w:r>
          </w:p>
        </w:tc>
      </w:tr>
      <w:tr w:rsidR="00AA22C4" w14:paraId="095C7EB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20E83DFE" w14:textId="77777777" w:rsidR="00AA22C4" w:rsidRDefault="00AA22C4">
            <w:pPr>
              <w:jc w:val="center"/>
              <w:rPr>
                <w:rFonts w:ascii="Arial" w:hAnsi="Arial" w:cs="Arial"/>
                <w:sz w:val="20"/>
                <w:szCs w:val="20"/>
              </w:rPr>
            </w:pPr>
            <w:r>
              <w:rPr>
                <w:rFonts w:ascii="Arial" w:hAnsi="Arial" w:cs="Arial"/>
                <w:sz w:val="20"/>
                <w:szCs w:val="20"/>
              </w:rPr>
              <w:t>66</w:t>
            </w:r>
          </w:p>
        </w:tc>
        <w:tc>
          <w:tcPr>
            <w:tcW w:w="3265" w:type="dxa"/>
            <w:tcBorders>
              <w:top w:val="nil"/>
              <w:left w:val="nil"/>
              <w:bottom w:val="single" w:sz="4" w:space="0" w:color="auto"/>
              <w:right w:val="single" w:sz="4" w:space="0" w:color="auto"/>
            </w:tcBorders>
            <w:noWrap/>
            <w:vAlign w:val="bottom"/>
            <w:hideMark/>
          </w:tcPr>
          <w:p w14:paraId="089EFDD6" w14:textId="77777777" w:rsidR="00AA22C4" w:rsidRDefault="00AA22C4">
            <w:pPr>
              <w:rPr>
                <w:rFonts w:ascii="Arial" w:hAnsi="Arial" w:cs="Arial"/>
                <w:sz w:val="20"/>
                <w:szCs w:val="20"/>
              </w:rPr>
            </w:pPr>
            <w:r>
              <w:rPr>
                <w:rFonts w:ascii="Arial" w:hAnsi="Arial" w:cs="Arial"/>
                <w:sz w:val="20"/>
                <w:szCs w:val="20"/>
              </w:rPr>
              <w:t>Albania</w:t>
            </w:r>
          </w:p>
        </w:tc>
        <w:tc>
          <w:tcPr>
            <w:tcW w:w="2340" w:type="dxa"/>
            <w:tcBorders>
              <w:top w:val="nil"/>
              <w:left w:val="nil"/>
              <w:bottom w:val="single" w:sz="4" w:space="0" w:color="auto"/>
              <w:right w:val="single" w:sz="4" w:space="0" w:color="auto"/>
            </w:tcBorders>
            <w:noWrap/>
            <w:vAlign w:val="bottom"/>
            <w:hideMark/>
          </w:tcPr>
          <w:p w14:paraId="567CB5EF"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41EF4A5D"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3C754995" w14:textId="77777777" w:rsidR="00AA22C4" w:rsidRDefault="00AA22C4">
            <w:pPr>
              <w:jc w:val="center"/>
              <w:rPr>
                <w:rFonts w:ascii="Arial" w:hAnsi="Arial" w:cs="Arial"/>
                <w:sz w:val="20"/>
                <w:szCs w:val="20"/>
              </w:rPr>
            </w:pPr>
            <w:r>
              <w:rPr>
                <w:rFonts w:ascii="Arial" w:hAnsi="Arial" w:cs="Arial"/>
                <w:sz w:val="20"/>
                <w:szCs w:val="20"/>
              </w:rPr>
              <w:t>67</w:t>
            </w:r>
          </w:p>
        </w:tc>
        <w:tc>
          <w:tcPr>
            <w:tcW w:w="3265" w:type="dxa"/>
            <w:tcBorders>
              <w:top w:val="nil"/>
              <w:left w:val="nil"/>
              <w:bottom w:val="single" w:sz="4" w:space="0" w:color="auto"/>
              <w:right w:val="single" w:sz="4" w:space="0" w:color="auto"/>
            </w:tcBorders>
            <w:noWrap/>
            <w:vAlign w:val="bottom"/>
            <w:hideMark/>
          </w:tcPr>
          <w:p w14:paraId="7A94A793" w14:textId="77777777" w:rsidR="00AA22C4" w:rsidRDefault="00AA22C4">
            <w:pPr>
              <w:rPr>
                <w:rFonts w:ascii="Arial" w:hAnsi="Arial" w:cs="Arial"/>
                <w:sz w:val="20"/>
                <w:szCs w:val="20"/>
              </w:rPr>
            </w:pPr>
            <w:r>
              <w:rPr>
                <w:rFonts w:ascii="Arial" w:hAnsi="Arial" w:cs="Arial"/>
                <w:sz w:val="20"/>
                <w:szCs w:val="20"/>
              </w:rPr>
              <w:t>Armenia</w:t>
            </w:r>
          </w:p>
        </w:tc>
        <w:tc>
          <w:tcPr>
            <w:tcW w:w="2340" w:type="dxa"/>
            <w:tcBorders>
              <w:top w:val="nil"/>
              <w:left w:val="nil"/>
              <w:bottom w:val="single" w:sz="4" w:space="0" w:color="auto"/>
              <w:right w:val="single" w:sz="4" w:space="0" w:color="auto"/>
            </w:tcBorders>
            <w:noWrap/>
            <w:vAlign w:val="bottom"/>
            <w:hideMark/>
          </w:tcPr>
          <w:p w14:paraId="33EDB96D"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098999B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4049B5E" w14:textId="77777777" w:rsidR="00AA22C4" w:rsidRDefault="00AA22C4">
            <w:pPr>
              <w:jc w:val="center"/>
              <w:rPr>
                <w:rFonts w:ascii="Arial" w:hAnsi="Arial" w:cs="Arial"/>
                <w:sz w:val="20"/>
                <w:szCs w:val="20"/>
              </w:rPr>
            </w:pPr>
            <w:r>
              <w:rPr>
                <w:rFonts w:ascii="Arial" w:hAnsi="Arial" w:cs="Arial"/>
                <w:sz w:val="20"/>
                <w:szCs w:val="20"/>
              </w:rPr>
              <w:t>68</w:t>
            </w:r>
          </w:p>
        </w:tc>
        <w:tc>
          <w:tcPr>
            <w:tcW w:w="3265" w:type="dxa"/>
            <w:tcBorders>
              <w:top w:val="nil"/>
              <w:left w:val="nil"/>
              <w:bottom w:val="single" w:sz="4" w:space="0" w:color="auto"/>
              <w:right w:val="single" w:sz="4" w:space="0" w:color="auto"/>
            </w:tcBorders>
            <w:noWrap/>
            <w:vAlign w:val="bottom"/>
            <w:hideMark/>
          </w:tcPr>
          <w:p w14:paraId="0FC926DD" w14:textId="77777777" w:rsidR="00AA22C4" w:rsidRDefault="00AA22C4">
            <w:pPr>
              <w:rPr>
                <w:rFonts w:ascii="Arial" w:hAnsi="Arial" w:cs="Arial"/>
                <w:sz w:val="20"/>
                <w:szCs w:val="20"/>
              </w:rPr>
            </w:pPr>
            <w:r>
              <w:rPr>
                <w:rFonts w:ascii="Arial" w:hAnsi="Arial" w:cs="Arial"/>
                <w:sz w:val="20"/>
                <w:szCs w:val="20"/>
              </w:rPr>
              <w:t>Belarus</w:t>
            </w:r>
          </w:p>
        </w:tc>
        <w:tc>
          <w:tcPr>
            <w:tcW w:w="2340" w:type="dxa"/>
            <w:tcBorders>
              <w:top w:val="nil"/>
              <w:left w:val="nil"/>
              <w:bottom w:val="single" w:sz="4" w:space="0" w:color="auto"/>
              <w:right w:val="single" w:sz="4" w:space="0" w:color="auto"/>
            </w:tcBorders>
            <w:noWrap/>
            <w:vAlign w:val="bottom"/>
            <w:hideMark/>
          </w:tcPr>
          <w:p w14:paraId="32E4AB3A"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3F01ED17"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7EDB3D3F" w14:textId="77777777" w:rsidR="00AA22C4" w:rsidRDefault="00AA22C4">
            <w:pPr>
              <w:jc w:val="center"/>
              <w:rPr>
                <w:rFonts w:ascii="Arial" w:hAnsi="Arial" w:cs="Arial"/>
                <w:sz w:val="20"/>
                <w:szCs w:val="20"/>
              </w:rPr>
            </w:pPr>
            <w:r>
              <w:rPr>
                <w:rFonts w:ascii="Arial" w:hAnsi="Arial" w:cs="Arial"/>
                <w:sz w:val="20"/>
                <w:szCs w:val="20"/>
              </w:rPr>
              <w:t>69</w:t>
            </w:r>
          </w:p>
        </w:tc>
        <w:tc>
          <w:tcPr>
            <w:tcW w:w="3265" w:type="dxa"/>
            <w:tcBorders>
              <w:top w:val="nil"/>
              <w:left w:val="nil"/>
              <w:bottom w:val="single" w:sz="4" w:space="0" w:color="auto"/>
              <w:right w:val="single" w:sz="4" w:space="0" w:color="auto"/>
            </w:tcBorders>
            <w:noWrap/>
            <w:vAlign w:val="bottom"/>
            <w:hideMark/>
          </w:tcPr>
          <w:p w14:paraId="3BC9A16F" w14:textId="77777777" w:rsidR="00AA22C4" w:rsidRDefault="00AA22C4">
            <w:pPr>
              <w:rPr>
                <w:rFonts w:ascii="Arial" w:hAnsi="Arial" w:cs="Arial"/>
                <w:sz w:val="20"/>
                <w:szCs w:val="20"/>
              </w:rPr>
            </w:pPr>
            <w:r>
              <w:rPr>
                <w:rFonts w:ascii="Arial" w:hAnsi="Arial" w:cs="Arial"/>
                <w:sz w:val="20"/>
                <w:szCs w:val="20"/>
              </w:rPr>
              <w:t>Bosnia and Herzegovina</w:t>
            </w:r>
          </w:p>
        </w:tc>
        <w:tc>
          <w:tcPr>
            <w:tcW w:w="2340" w:type="dxa"/>
            <w:tcBorders>
              <w:top w:val="nil"/>
              <w:left w:val="nil"/>
              <w:bottom w:val="single" w:sz="4" w:space="0" w:color="auto"/>
              <w:right w:val="single" w:sz="4" w:space="0" w:color="auto"/>
            </w:tcBorders>
            <w:noWrap/>
            <w:vAlign w:val="bottom"/>
            <w:hideMark/>
          </w:tcPr>
          <w:p w14:paraId="4142E96E"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1800968A"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47F153D0" w14:textId="77777777" w:rsidR="00AA22C4" w:rsidRDefault="00AA22C4">
            <w:pPr>
              <w:jc w:val="center"/>
              <w:rPr>
                <w:rFonts w:ascii="Arial" w:hAnsi="Arial" w:cs="Arial"/>
                <w:sz w:val="20"/>
                <w:szCs w:val="20"/>
              </w:rPr>
            </w:pPr>
            <w:r>
              <w:rPr>
                <w:rFonts w:ascii="Arial" w:hAnsi="Arial" w:cs="Arial"/>
                <w:sz w:val="20"/>
                <w:szCs w:val="20"/>
              </w:rPr>
              <w:t>70</w:t>
            </w:r>
          </w:p>
        </w:tc>
        <w:tc>
          <w:tcPr>
            <w:tcW w:w="3265" w:type="dxa"/>
            <w:tcBorders>
              <w:top w:val="nil"/>
              <w:left w:val="nil"/>
              <w:bottom w:val="single" w:sz="4" w:space="0" w:color="auto"/>
              <w:right w:val="single" w:sz="4" w:space="0" w:color="auto"/>
            </w:tcBorders>
            <w:noWrap/>
            <w:vAlign w:val="bottom"/>
            <w:hideMark/>
          </w:tcPr>
          <w:p w14:paraId="10291ED8" w14:textId="77777777" w:rsidR="00AA22C4" w:rsidRDefault="00AA22C4">
            <w:pPr>
              <w:rPr>
                <w:rFonts w:ascii="Arial" w:hAnsi="Arial" w:cs="Arial"/>
                <w:sz w:val="20"/>
                <w:szCs w:val="20"/>
              </w:rPr>
            </w:pPr>
            <w:r>
              <w:rPr>
                <w:rFonts w:ascii="Arial" w:hAnsi="Arial" w:cs="Arial"/>
                <w:sz w:val="20"/>
                <w:szCs w:val="20"/>
              </w:rPr>
              <w:t>Georgia</w:t>
            </w:r>
          </w:p>
        </w:tc>
        <w:tc>
          <w:tcPr>
            <w:tcW w:w="2340" w:type="dxa"/>
            <w:tcBorders>
              <w:top w:val="nil"/>
              <w:left w:val="nil"/>
              <w:bottom w:val="single" w:sz="4" w:space="0" w:color="auto"/>
              <w:right w:val="single" w:sz="4" w:space="0" w:color="auto"/>
            </w:tcBorders>
            <w:noWrap/>
            <w:vAlign w:val="bottom"/>
            <w:hideMark/>
          </w:tcPr>
          <w:p w14:paraId="1490F480"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53C33259"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699BDCE9" w14:textId="77777777" w:rsidR="00AA22C4" w:rsidRDefault="00AA22C4">
            <w:pPr>
              <w:jc w:val="center"/>
              <w:rPr>
                <w:rFonts w:ascii="Arial" w:hAnsi="Arial" w:cs="Arial"/>
                <w:sz w:val="20"/>
                <w:szCs w:val="20"/>
              </w:rPr>
            </w:pPr>
            <w:r>
              <w:rPr>
                <w:rFonts w:ascii="Arial" w:hAnsi="Arial" w:cs="Arial"/>
                <w:sz w:val="20"/>
                <w:szCs w:val="20"/>
              </w:rPr>
              <w:t>71</w:t>
            </w:r>
          </w:p>
        </w:tc>
        <w:tc>
          <w:tcPr>
            <w:tcW w:w="3265" w:type="dxa"/>
            <w:tcBorders>
              <w:top w:val="nil"/>
              <w:left w:val="nil"/>
              <w:bottom w:val="single" w:sz="4" w:space="0" w:color="auto"/>
              <w:right w:val="single" w:sz="4" w:space="0" w:color="auto"/>
            </w:tcBorders>
            <w:noWrap/>
            <w:vAlign w:val="bottom"/>
            <w:hideMark/>
          </w:tcPr>
          <w:p w14:paraId="1B76BA01" w14:textId="77777777" w:rsidR="00AA22C4" w:rsidRDefault="00AA22C4">
            <w:pPr>
              <w:rPr>
                <w:rFonts w:ascii="Arial" w:hAnsi="Arial" w:cs="Arial"/>
                <w:sz w:val="20"/>
                <w:szCs w:val="20"/>
              </w:rPr>
            </w:pPr>
            <w:r>
              <w:rPr>
                <w:rFonts w:ascii="Arial" w:hAnsi="Arial" w:cs="Arial"/>
                <w:sz w:val="20"/>
                <w:szCs w:val="20"/>
              </w:rPr>
              <w:t>Moldova</w:t>
            </w:r>
          </w:p>
        </w:tc>
        <w:tc>
          <w:tcPr>
            <w:tcW w:w="2340" w:type="dxa"/>
            <w:tcBorders>
              <w:top w:val="nil"/>
              <w:left w:val="nil"/>
              <w:bottom w:val="single" w:sz="4" w:space="0" w:color="auto"/>
              <w:right w:val="single" w:sz="4" w:space="0" w:color="auto"/>
            </w:tcBorders>
            <w:noWrap/>
            <w:vAlign w:val="bottom"/>
            <w:hideMark/>
          </w:tcPr>
          <w:p w14:paraId="34CA664C"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59866EF7"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026F57C7" w14:textId="77777777" w:rsidR="00AA22C4" w:rsidRDefault="00AA22C4">
            <w:pPr>
              <w:jc w:val="center"/>
              <w:rPr>
                <w:rFonts w:ascii="Arial" w:hAnsi="Arial" w:cs="Arial"/>
                <w:sz w:val="20"/>
                <w:szCs w:val="20"/>
              </w:rPr>
            </w:pPr>
            <w:r>
              <w:rPr>
                <w:rFonts w:ascii="Arial" w:hAnsi="Arial" w:cs="Arial"/>
                <w:sz w:val="20"/>
                <w:szCs w:val="20"/>
              </w:rPr>
              <w:t>72</w:t>
            </w:r>
          </w:p>
        </w:tc>
        <w:tc>
          <w:tcPr>
            <w:tcW w:w="3265" w:type="dxa"/>
            <w:tcBorders>
              <w:top w:val="nil"/>
              <w:left w:val="nil"/>
              <w:bottom w:val="single" w:sz="4" w:space="0" w:color="auto"/>
              <w:right w:val="single" w:sz="4" w:space="0" w:color="auto"/>
            </w:tcBorders>
            <w:noWrap/>
            <w:vAlign w:val="bottom"/>
            <w:hideMark/>
          </w:tcPr>
          <w:p w14:paraId="04871FCC" w14:textId="77777777" w:rsidR="00AA22C4" w:rsidRDefault="00AA22C4">
            <w:pPr>
              <w:rPr>
                <w:rFonts w:ascii="Arial" w:hAnsi="Arial" w:cs="Arial"/>
                <w:sz w:val="20"/>
                <w:szCs w:val="20"/>
              </w:rPr>
            </w:pPr>
            <w:r>
              <w:rPr>
                <w:rFonts w:ascii="Arial" w:hAnsi="Arial" w:cs="Arial"/>
                <w:sz w:val="20"/>
                <w:szCs w:val="20"/>
              </w:rPr>
              <w:t>Montenegro</w:t>
            </w:r>
          </w:p>
        </w:tc>
        <w:tc>
          <w:tcPr>
            <w:tcW w:w="2340" w:type="dxa"/>
            <w:tcBorders>
              <w:top w:val="nil"/>
              <w:left w:val="nil"/>
              <w:bottom w:val="single" w:sz="4" w:space="0" w:color="auto"/>
              <w:right w:val="single" w:sz="4" w:space="0" w:color="auto"/>
            </w:tcBorders>
            <w:noWrap/>
            <w:vAlign w:val="bottom"/>
            <w:hideMark/>
          </w:tcPr>
          <w:p w14:paraId="4EDB98EC"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4AC216C3"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55BD11A" w14:textId="77777777" w:rsidR="00AA22C4" w:rsidRDefault="00AA22C4">
            <w:pPr>
              <w:jc w:val="center"/>
              <w:rPr>
                <w:rFonts w:ascii="Arial" w:hAnsi="Arial" w:cs="Arial"/>
                <w:sz w:val="20"/>
                <w:szCs w:val="20"/>
              </w:rPr>
            </w:pPr>
            <w:r>
              <w:rPr>
                <w:rFonts w:ascii="Arial" w:hAnsi="Arial" w:cs="Arial"/>
                <w:sz w:val="20"/>
                <w:szCs w:val="20"/>
              </w:rPr>
              <w:t>73</w:t>
            </w:r>
          </w:p>
        </w:tc>
        <w:tc>
          <w:tcPr>
            <w:tcW w:w="3265" w:type="dxa"/>
            <w:tcBorders>
              <w:top w:val="nil"/>
              <w:left w:val="nil"/>
              <w:bottom w:val="single" w:sz="4" w:space="0" w:color="auto"/>
              <w:right w:val="single" w:sz="4" w:space="0" w:color="auto"/>
            </w:tcBorders>
            <w:noWrap/>
            <w:vAlign w:val="bottom"/>
            <w:hideMark/>
          </w:tcPr>
          <w:p w14:paraId="7E717DFA" w14:textId="77777777" w:rsidR="00AA22C4" w:rsidRDefault="00AA22C4">
            <w:pPr>
              <w:rPr>
                <w:rFonts w:ascii="Arial" w:hAnsi="Arial" w:cs="Arial"/>
                <w:sz w:val="20"/>
                <w:szCs w:val="20"/>
              </w:rPr>
            </w:pPr>
            <w:r>
              <w:rPr>
                <w:rFonts w:ascii="Arial" w:hAnsi="Arial" w:cs="Arial"/>
                <w:sz w:val="20"/>
                <w:szCs w:val="20"/>
              </w:rPr>
              <w:t>Serbia</w:t>
            </w:r>
          </w:p>
        </w:tc>
        <w:tc>
          <w:tcPr>
            <w:tcW w:w="2340" w:type="dxa"/>
            <w:tcBorders>
              <w:top w:val="nil"/>
              <w:left w:val="nil"/>
              <w:bottom w:val="single" w:sz="4" w:space="0" w:color="auto"/>
              <w:right w:val="single" w:sz="4" w:space="0" w:color="auto"/>
            </w:tcBorders>
            <w:noWrap/>
            <w:vAlign w:val="bottom"/>
            <w:hideMark/>
          </w:tcPr>
          <w:p w14:paraId="62FACE1D" w14:textId="77777777" w:rsidR="00AA22C4" w:rsidRDefault="00AA22C4">
            <w:pPr>
              <w:jc w:val="center"/>
              <w:rPr>
                <w:rFonts w:ascii="Arial" w:hAnsi="Arial" w:cs="Arial"/>
                <w:sz w:val="20"/>
                <w:szCs w:val="20"/>
              </w:rPr>
            </w:pPr>
            <w:r>
              <w:rPr>
                <w:rFonts w:ascii="Arial" w:hAnsi="Arial" w:cs="Arial"/>
                <w:sz w:val="20"/>
                <w:szCs w:val="20"/>
              </w:rPr>
              <w:t>Europe</w:t>
            </w:r>
          </w:p>
        </w:tc>
      </w:tr>
      <w:tr w:rsidR="00AA22C4" w14:paraId="6EBD4BEB" w14:textId="77777777" w:rsidTr="00142CDE">
        <w:trPr>
          <w:trHeight w:val="264"/>
        </w:trPr>
        <w:tc>
          <w:tcPr>
            <w:tcW w:w="960" w:type="dxa"/>
            <w:tcBorders>
              <w:top w:val="nil"/>
              <w:left w:val="single" w:sz="4" w:space="0" w:color="auto"/>
              <w:bottom w:val="single" w:sz="4" w:space="0" w:color="auto"/>
              <w:right w:val="single" w:sz="4" w:space="0" w:color="auto"/>
            </w:tcBorders>
            <w:noWrap/>
            <w:vAlign w:val="bottom"/>
            <w:hideMark/>
          </w:tcPr>
          <w:p w14:paraId="12F003B8" w14:textId="77777777" w:rsidR="00AA22C4" w:rsidRDefault="00AA22C4">
            <w:pPr>
              <w:jc w:val="center"/>
              <w:rPr>
                <w:rFonts w:ascii="Arial" w:hAnsi="Arial" w:cs="Arial"/>
                <w:sz w:val="20"/>
                <w:szCs w:val="20"/>
              </w:rPr>
            </w:pPr>
            <w:r>
              <w:rPr>
                <w:rFonts w:ascii="Arial" w:hAnsi="Arial" w:cs="Arial"/>
                <w:sz w:val="20"/>
                <w:szCs w:val="20"/>
              </w:rPr>
              <w:t>74</w:t>
            </w:r>
          </w:p>
        </w:tc>
        <w:tc>
          <w:tcPr>
            <w:tcW w:w="3265" w:type="dxa"/>
            <w:tcBorders>
              <w:top w:val="nil"/>
              <w:left w:val="nil"/>
              <w:bottom w:val="single" w:sz="4" w:space="0" w:color="auto"/>
              <w:right w:val="single" w:sz="4" w:space="0" w:color="auto"/>
            </w:tcBorders>
            <w:noWrap/>
            <w:vAlign w:val="bottom"/>
            <w:hideMark/>
          </w:tcPr>
          <w:p w14:paraId="1CCB6B42" w14:textId="77777777" w:rsidR="00AA22C4" w:rsidRDefault="00AA22C4">
            <w:pPr>
              <w:rPr>
                <w:rFonts w:ascii="Arial" w:hAnsi="Arial" w:cs="Arial"/>
                <w:sz w:val="20"/>
                <w:szCs w:val="20"/>
              </w:rPr>
            </w:pPr>
            <w:r>
              <w:rPr>
                <w:rFonts w:ascii="Arial" w:hAnsi="Arial" w:cs="Arial"/>
                <w:sz w:val="20"/>
                <w:szCs w:val="20"/>
              </w:rPr>
              <w:t>Türkiye</w:t>
            </w:r>
          </w:p>
        </w:tc>
        <w:tc>
          <w:tcPr>
            <w:tcW w:w="2340" w:type="dxa"/>
            <w:tcBorders>
              <w:top w:val="nil"/>
              <w:left w:val="nil"/>
              <w:bottom w:val="single" w:sz="4" w:space="0" w:color="auto"/>
              <w:right w:val="single" w:sz="4" w:space="0" w:color="auto"/>
            </w:tcBorders>
            <w:noWrap/>
            <w:vAlign w:val="bottom"/>
            <w:hideMark/>
          </w:tcPr>
          <w:p w14:paraId="42DE8C68" w14:textId="77777777" w:rsidR="00AA22C4" w:rsidRDefault="00AA22C4">
            <w:pPr>
              <w:jc w:val="center"/>
              <w:rPr>
                <w:rFonts w:ascii="Arial" w:hAnsi="Arial" w:cs="Arial"/>
                <w:sz w:val="20"/>
                <w:szCs w:val="20"/>
              </w:rPr>
            </w:pPr>
            <w:r>
              <w:rPr>
                <w:rFonts w:ascii="Arial" w:hAnsi="Arial" w:cs="Arial"/>
                <w:sz w:val="20"/>
                <w:szCs w:val="20"/>
              </w:rPr>
              <w:t>Europe</w:t>
            </w:r>
          </w:p>
        </w:tc>
      </w:tr>
    </w:tbl>
    <w:p w14:paraId="35847694" w14:textId="77777777" w:rsidR="00AA22C4" w:rsidRDefault="00AA22C4" w:rsidP="00CC3BC4">
      <w:pPr>
        <w:rPr>
          <w:b/>
        </w:rPr>
      </w:pPr>
    </w:p>
    <w:p w14:paraId="49801977" w14:textId="77777777" w:rsidR="00CC3BC4" w:rsidRDefault="00CC3BC4">
      <w:pPr>
        <w:rPr>
          <w:noProof/>
        </w:rPr>
      </w:pPr>
    </w:p>
    <w:p w14:paraId="530AC313" w14:textId="1878CDA7" w:rsidR="002F6FBB" w:rsidRDefault="002F6FBB">
      <w:pPr>
        <w:rPr>
          <w:noProof/>
        </w:rPr>
      </w:pPr>
    </w:p>
    <w:p w14:paraId="6B6DCE4F" w14:textId="77777777" w:rsidR="00F2292E" w:rsidRPr="005E58F9" w:rsidRDefault="00F2292E" w:rsidP="00F2292E">
      <w:pPr>
        <w:spacing w:line="480" w:lineRule="auto"/>
        <w:jc w:val="center"/>
      </w:pPr>
    </w:p>
    <w:sectPr w:rsidR="00F2292E" w:rsidRPr="005E58F9">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925C" w14:textId="77777777" w:rsidR="0029196A" w:rsidRDefault="0029196A" w:rsidP="00CC603E">
      <w:r>
        <w:separator/>
      </w:r>
    </w:p>
  </w:endnote>
  <w:endnote w:type="continuationSeparator" w:id="0">
    <w:p w14:paraId="0BFA07D7" w14:textId="77777777" w:rsidR="0029196A" w:rsidRDefault="0029196A" w:rsidP="00CC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786996"/>
      <w:docPartObj>
        <w:docPartGallery w:val="Page Numbers (Bottom of Page)"/>
        <w:docPartUnique/>
      </w:docPartObj>
    </w:sdtPr>
    <w:sdtEndPr>
      <w:rPr>
        <w:noProof/>
      </w:rPr>
    </w:sdtEndPr>
    <w:sdtContent>
      <w:p w14:paraId="46B4A244" w14:textId="1EB1C8B2" w:rsidR="006C1191" w:rsidRDefault="006C11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FE4312" w14:textId="77777777" w:rsidR="006C1191" w:rsidRDefault="006C1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9DB7" w14:textId="77777777" w:rsidR="0029196A" w:rsidRDefault="0029196A" w:rsidP="00CC603E">
      <w:r>
        <w:separator/>
      </w:r>
    </w:p>
  </w:footnote>
  <w:footnote w:type="continuationSeparator" w:id="0">
    <w:p w14:paraId="02E5BEE6" w14:textId="77777777" w:rsidR="0029196A" w:rsidRDefault="0029196A" w:rsidP="00CC603E">
      <w:r>
        <w:continuationSeparator/>
      </w:r>
    </w:p>
  </w:footnote>
  <w:footnote w:id="1">
    <w:p w14:paraId="6DE5EF08" w14:textId="3FB6A16A" w:rsidR="009849EB" w:rsidRPr="007A31A4" w:rsidRDefault="009849EB" w:rsidP="00035278">
      <w:pPr>
        <w:pStyle w:val="FootnoteText"/>
        <w:jc w:val="both"/>
      </w:pPr>
      <w:r w:rsidRPr="007A31A4">
        <w:rPr>
          <w:rStyle w:val="FootnoteReference"/>
        </w:rPr>
        <w:footnoteRef/>
      </w:r>
      <w:r w:rsidRPr="007A31A4">
        <w:t xml:space="preserve"> Fordham</w:t>
      </w:r>
      <w:r w:rsidR="00035278">
        <w:t xml:space="preserve"> Pope</w:t>
      </w:r>
      <w:r w:rsidRPr="007A31A4">
        <w:t xml:space="preserve"> Francis</w:t>
      </w:r>
      <w:r w:rsidR="00330847" w:rsidRPr="007A31A4">
        <w:t xml:space="preserve"> Global Poverty</w:t>
      </w:r>
      <w:r w:rsidRPr="007A31A4">
        <w:t xml:space="preserve"> Index Report 2022.</w:t>
      </w:r>
    </w:p>
  </w:footnote>
  <w:footnote w:id="2">
    <w:p w14:paraId="34E50EEE" w14:textId="77777777" w:rsidR="001E0CB8" w:rsidRPr="007A31A4" w:rsidRDefault="001E0CB8" w:rsidP="00035278">
      <w:pPr>
        <w:pStyle w:val="FootnoteText"/>
        <w:jc w:val="both"/>
      </w:pPr>
      <w:r w:rsidRPr="007A31A4">
        <w:rPr>
          <w:rStyle w:val="FootnoteReference"/>
        </w:rPr>
        <w:footnoteRef/>
      </w:r>
      <w:r w:rsidRPr="007A31A4">
        <w:t xml:space="preserve"> Paul A. Marshall, </w:t>
      </w:r>
      <w:r w:rsidRPr="007A31A4">
        <w:rPr>
          <w:i/>
          <w:iCs/>
        </w:rPr>
        <w:t>Religious freedom in the World</w:t>
      </w:r>
      <w:r w:rsidRPr="007A31A4">
        <w:t>, Rowman &amp; Littlefield Publishers, Inc. 2008</w:t>
      </w:r>
    </w:p>
  </w:footnote>
  <w:footnote w:id="3">
    <w:p w14:paraId="527A8877" w14:textId="77777777" w:rsidR="001E0CB8" w:rsidRPr="007A31A4" w:rsidRDefault="001E0CB8" w:rsidP="00035278">
      <w:pPr>
        <w:pStyle w:val="FootnoteText"/>
        <w:jc w:val="both"/>
      </w:pPr>
      <w:r w:rsidRPr="007A31A4">
        <w:rPr>
          <w:rStyle w:val="FootnoteReference"/>
        </w:rPr>
        <w:footnoteRef/>
      </w:r>
      <w:r w:rsidRPr="007A31A4">
        <w:t xml:space="preserve"> David Boaz, </w:t>
      </w:r>
      <w:r w:rsidRPr="007A31A4">
        <w:rPr>
          <w:i/>
          <w:iCs/>
        </w:rPr>
        <w:t>The Libertarian Mind</w:t>
      </w:r>
      <w:r w:rsidRPr="007A31A4">
        <w:t>, (New York: Simon &amp; Shuster, 2015),</w:t>
      </w:r>
    </w:p>
  </w:footnote>
  <w:footnote w:id="4">
    <w:p w14:paraId="41D22C6D" w14:textId="0C21A5F5" w:rsidR="001E0CB8" w:rsidRPr="007A31A4" w:rsidRDefault="001E0CB8" w:rsidP="00035278">
      <w:pPr>
        <w:pStyle w:val="FootnoteText"/>
        <w:jc w:val="both"/>
      </w:pPr>
      <w:r w:rsidRPr="007A31A4">
        <w:rPr>
          <w:rStyle w:val="FootnoteReference"/>
        </w:rPr>
        <w:footnoteRef/>
      </w:r>
      <w:r w:rsidRPr="007A31A4">
        <w:t xml:space="preserve"> John F. Early</w:t>
      </w:r>
      <w:r w:rsidR="00707327" w:rsidRPr="007A31A4">
        <w:t>,</w:t>
      </w:r>
      <w:r w:rsidRPr="007A31A4">
        <w:t xml:space="preserve"> </w:t>
      </w:r>
      <w:r w:rsidRPr="007A31A4">
        <w:rPr>
          <w:i/>
        </w:rPr>
        <w:t>Measurable Relationships Between Freedom and Prosperity and the Consequences for the Washington Consensus and New Economic Paradigm</w:t>
      </w:r>
      <w:r w:rsidRPr="007A31A4">
        <w:t xml:space="preserve"> </w:t>
      </w:r>
      <w:r w:rsidR="00707327" w:rsidRPr="007A31A4">
        <w:t>Cato working paper, 2023</w:t>
      </w:r>
    </w:p>
  </w:footnote>
  <w:footnote w:id="5">
    <w:p w14:paraId="1059F4F3" w14:textId="77777777" w:rsidR="00C57C0B" w:rsidRPr="007A31A4" w:rsidRDefault="00C57C0B" w:rsidP="00035278">
      <w:pPr>
        <w:pStyle w:val="FootnoteText"/>
        <w:jc w:val="both"/>
      </w:pPr>
      <w:r w:rsidRPr="007A31A4">
        <w:rPr>
          <w:rStyle w:val="FootnoteReference"/>
        </w:rPr>
        <w:footnoteRef/>
      </w:r>
      <w:r w:rsidRPr="007A31A4">
        <w:t xml:space="preserve">  Woodberry, Robert. </w:t>
      </w:r>
      <w:r w:rsidRPr="007A31A4">
        <w:rPr>
          <w:i/>
        </w:rPr>
        <w:t>The Missionary Roots of Liberal Democracy</w:t>
      </w:r>
      <w:r w:rsidRPr="007A31A4">
        <w:t xml:space="preserve"> VL - 106 - American Political Science Review. 2012.</w:t>
      </w:r>
    </w:p>
  </w:footnote>
  <w:footnote w:id="6">
    <w:p w14:paraId="6616C1E7" w14:textId="14BB2970" w:rsidR="00C57C0B" w:rsidRPr="007A31A4" w:rsidRDefault="00C57C0B" w:rsidP="00035278">
      <w:pPr>
        <w:pStyle w:val="FootnoteText"/>
        <w:jc w:val="both"/>
      </w:pPr>
      <w:r w:rsidRPr="007A31A4">
        <w:rPr>
          <w:rStyle w:val="FootnoteReference"/>
        </w:rPr>
        <w:footnoteRef/>
      </w:r>
      <w:r w:rsidRPr="007A31A4">
        <w:t xml:space="preserve"> Brian J. </w:t>
      </w:r>
      <w:r w:rsidR="00634C50">
        <w:t>RE</w:t>
      </w:r>
      <w:r w:rsidRPr="007A31A4">
        <w:t xml:space="preserve">m. </w:t>
      </w:r>
      <w:r w:rsidRPr="007A31A4">
        <w:rPr>
          <w:i/>
          <w:iCs/>
        </w:rPr>
        <w:t>Is Religious Freedom Good for Business? A Conceptual and Empirical Analysis</w:t>
      </w:r>
      <w:r w:rsidRPr="007A31A4">
        <w:t xml:space="preserve">. Interdisciplinary Journal of Research on Religion, Volume 10 2014 Article 4.   </w:t>
      </w:r>
    </w:p>
  </w:footnote>
  <w:footnote w:id="7">
    <w:p w14:paraId="12199A88" w14:textId="77777777" w:rsidR="00C57C0B" w:rsidRPr="007A31A4" w:rsidRDefault="00C57C0B" w:rsidP="00035278">
      <w:pPr>
        <w:pStyle w:val="FootnoteText"/>
        <w:jc w:val="both"/>
      </w:pPr>
      <w:r w:rsidRPr="007A31A4">
        <w:rPr>
          <w:rStyle w:val="FootnoteReference"/>
        </w:rPr>
        <w:footnoteRef/>
      </w:r>
      <w:r w:rsidRPr="007A31A4">
        <w:t xml:space="preserve"> Gill A, Owen JMIV. </w:t>
      </w:r>
      <w:r w:rsidRPr="007A31A4">
        <w:rPr>
          <w:i/>
          <w:iCs/>
        </w:rPr>
        <w:t>Religious liberty and economic prosperity: Four lessons from the past</w:t>
      </w:r>
      <w:r w:rsidRPr="007A31A4">
        <w:t>. Cato Journal 37(1): 115–134. 2017.</w:t>
      </w:r>
    </w:p>
  </w:footnote>
  <w:footnote w:id="8">
    <w:p w14:paraId="200850F7" w14:textId="4BC07919" w:rsidR="00C57C0B" w:rsidRPr="007A31A4" w:rsidRDefault="00C57C0B" w:rsidP="00035278">
      <w:pPr>
        <w:pStyle w:val="FootnoteText"/>
        <w:jc w:val="both"/>
      </w:pPr>
      <w:r w:rsidRPr="007A31A4">
        <w:rPr>
          <w:rStyle w:val="FootnoteReference"/>
        </w:rPr>
        <w:footnoteRef/>
      </w:r>
      <w:r w:rsidRPr="007A31A4">
        <w:t xml:space="preserve"> </w:t>
      </w:r>
      <w:r w:rsidR="00634C50">
        <w:t>Re</w:t>
      </w:r>
      <w:r w:rsidR="00634C50" w:rsidRPr="007A31A4">
        <w:t>m</w:t>
      </w:r>
      <w:r w:rsidRPr="007A31A4">
        <w:t>, Clark, and Snyder (2014): Is Religious Freedom Good for Business? Interdisciplinary Journal of Research on Religion Vol. 10 (2014), Article 4.</w:t>
      </w:r>
    </w:p>
  </w:footnote>
  <w:footnote w:id="9">
    <w:p w14:paraId="36FF1A5B" w14:textId="6E96A10A" w:rsidR="001E0CB8" w:rsidRPr="007A31A4" w:rsidRDefault="001E0CB8" w:rsidP="00035278">
      <w:pPr>
        <w:pStyle w:val="FootnoteText"/>
        <w:jc w:val="both"/>
      </w:pPr>
      <w:r w:rsidRPr="007A31A4">
        <w:rPr>
          <w:rStyle w:val="FootnoteReference"/>
        </w:rPr>
        <w:footnoteRef/>
      </w:r>
      <w:r w:rsidRPr="007A31A4">
        <w:t xml:space="preserve"> Fox, J. </w:t>
      </w:r>
      <w:r w:rsidRPr="007A31A4">
        <w:rPr>
          <w:i/>
          <w:iCs/>
        </w:rPr>
        <w:t>What is religious freedom and who has it?</w:t>
      </w:r>
      <w:r w:rsidRPr="007A31A4">
        <w:t xml:space="preserve"> Social Compass, 68(3), 321-341. https://doi.org/10.1177/00377686211012368.</w:t>
      </w:r>
      <w:r w:rsidR="009F4384" w:rsidRPr="007A31A4">
        <w:t>2021</w:t>
      </w:r>
    </w:p>
  </w:footnote>
  <w:footnote w:id="10">
    <w:p w14:paraId="73A2D6D8" w14:textId="7A226D7C" w:rsidR="001E0CB8" w:rsidRPr="007A31A4" w:rsidRDefault="001E0CB8" w:rsidP="00035278">
      <w:pPr>
        <w:pStyle w:val="FootnoteText"/>
        <w:jc w:val="both"/>
      </w:pPr>
      <w:r w:rsidRPr="007A31A4">
        <w:rPr>
          <w:rStyle w:val="FootnoteReference"/>
        </w:rPr>
        <w:footnoteRef/>
      </w:r>
      <w:r w:rsidRPr="007A31A4">
        <w:t xml:space="preserve"> Gill A</w:t>
      </w:r>
      <w:r w:rsidR="009F4384" w:rsidRPr="007A31A4">
        <w:t>,</w:t>
      </w:r>
      <w:r w:rsidRPr="007A31A4">
        <w:t> </w:t>
      </w:r>
      <w:r w:rsidRPr="007A31A4">
        <w:rPr>
          <w:i/>
          <w:iCs/>
        </w:rPr>
        <w:t>The political origins of religious liberty</w:t>
      </w:r>
      <w:r w:rsidRPr="007A31A4">
        <w:t>. New York: Cambridge University Press.</w:t>
      </w:r>
      <w:r w:rsidR="009F4384" w:rsidRPr="007A31A4">
        <w:t xml:space="preserve"> 2008.</w:t>
      </w:r>
    </w:p>
  </w:footnote>
  <w:footnote w:id="11">
    <w:p w14:paraId="3A59F80B" w14:textId="392DF99A" w:rsidR="0022785A" w:rsidRPr="007A31A4" w:rsidRDefault="0022785A" w:rsidP="00035278">
      <w:pPr>
        <w:pStyle w:val="FootnoteText"/>
        <w:jc w:val="both"/>
      </w:pPr>
      <w:r w:rsidRPr="007A31A4">
        <w:rPr>
          <w:rStyle w:val="FootnoteReference"/>
        </w:rPr>
        <w:footnoteRef/>
      </w:r>
      <w:r w:rsidRPr="007A31A4">
        <w:t xml:space="preserve"> Grant</w:t>
      </w:r>
      <w:r w:rsidR="00C57C0B" w:rsidRPr="007A31A4">
        <w:t xml:space="preserve"> C.</w:t>
      </w:r>
      <w:r w:rsidRPr="007A31A4">
        <w:t xml:space="preserve"> (2017), The contribution of education to economic growth</w:t>
      </w:r>
      <w:r w:rsidR="00C57C0B" w:rsidRPr="007A31A4">
        <w:t xml:space="preserve">. </w:t>
      </w:r>
      <w:r w:rsidRPr="007A31A4">
        <w:t xml:space="preserve"> </w:t>
      </w:r>
      <w:r w:rsidR="00C57C0B" w:rsidRPr="007A31A4">
        <w:t>K4D Helpdesk Report. Brighton, UK: Institute of Development Studies.</w:t>
      </w:r>
    </w:p>
  </w:footnote>
  <w:footnote w:id="12">
    <w:p w14:paraId="639F43D0" w14:textId="0C3B6B06" w:rsidR="0022785A" w:rsidRPr="007A31A4" w:rsidRDefault="0022785A" w:rsidP="00035278">
      <w:pPr>
        <w:pStyle w:val="FootnoteText"/>
        <w:jc w:val="both"/>
      </w:pPr>
      <w:r w:rsidRPr="007A31A4">
        <w:rPr>
          <w:rStyle w:val="FootnoteReference"/>
        </w:rPr>
        <w:footnoteRef/>
      </w:r>
      <w:r w:rsidRPr="007A31A4">
        <w:t xml:space="preserve"> Power and al (2015)</w:t>
      </w:r>
      <w:r w:rsidR="00C57C0B" w:rsidRPr="007A31A4">
        <w:t>,</w:t>
      </w:r>
      <w:r w:rsidRPr="007A31A4">
        <w:t xml:space="preserve"> </w:t>
      </w:r>
      <w:r w:rsidR="00C57C0B" w:rsidRPr="007A31A4">
        <w:t>Building Capacity in Higher Education Topic Guide, HEART</w:t>
      </w:r>
    </w:p>
  </w:footnote>
  <w:footnote w:id="13">
    <w:p w14:paraId="73E0AB0C" w14:textId="0F8D2FA1" w:rsidR="00C57C0B" w:rsidRPr="007A31A4" w:rsidRDefault="00C57C0B" w:rsidP="00035278">
      <w:pPr>
        <w:pStyle w:val="FootnoteText"/>
        <w:jc w:val="both"/>
      </w:pPr>
      <w:r w:rsidRPr="007A31A4">
        <w:rPr>
          <w:rStyle w:val="FootnoteReference"/>
        </w:rPr>
        <w:footnoteRef/>
      </w:r>
      <w:r w:rsidRPr="007A31A4">
        <w:t xml:space="preserve"> UNESCO (2010) The Central Role of Education in the Millennium Development Goals, MDG Summit High-Level Round Table, 22/09/2010, United Nations, New York Secondary education</w:t>
      </w:r>
    </w:p>
  </w:footnote>
  <w:footnote w:id="14">
    <w:p w14:paraId="7157AC4D" w14:textId="0A0F3BE2" w:rsidR="00457786" w:rsidRPr="007A31A4" w:rsidRDefault="00457786" w:rsidP="00035278">
      <w:pPr>
        <w:pStyle w:val="FootnoteText"/>
        <w:jc w:val="both"/>
      </w:pPr>
      <w:r w:rsidRPr="007A31A4">
        <w:rPr>
          <w:rStyle w:val="FootnoteReference"/>
        </w:rPr>
        <w:footnoteRef/>
      </w:r>
      <w:r w:rsidRPr="007A31A4">
        <w:t xml:space="preserve"> Fluchtmann , J., W. Adema and M. Keese (eds.) (2024), “Gender equality and economic growth: Past progress and future potential”, OECD Social, Employment and Migration Working Papers, No. 304, OECD Publishing, Paris, https://doi.org/10.1787/fb0a0a93-en.</w:t>
      </w:r>
    </w:p>
  </w:footnote>
  <w:footnote w:id="15">
    <w:p w14:paraId="4507E719" w14:textId="154FC877" w:rsidR="00035278" w:rsidRDefault="00035278" w:rsidP="00035278">
      <w:pPr>
        <w:pStyle w:val="FootnoteText"/>
        <w:jc w:val="both"/>
      </w:pPr>
      <w:r>
        <w:rPr>
          <w:rStyle w:val="FootnoteReference"/>
        </w:rPr>
        <w:footnoteRef/>
      </w:r>
      <w:r>
        <w:t xml:space="preserve"> It measures on a 10-point scale government laws, policies and actions that restrict religious beliefs or practices. The </w:t>
      </w:r>
      <w:r w:rsidR="00634C50">
        <w:t>RE</w:t>
      </w:r>
      <w:r>
        <w:t xml:space="preserve"> is comprised of 20 measures of restrictions, including efforts by governments to ban faiths, prohibit conversions, limit preaching or give preferential treatment to one or more religious groups.</w:t>
      </w:r>
    </w:p>
  </w:footnote>
  <w:footnote w:id="16">
    <w:p w14:paraId="5C518049" w14:textId="66ABAA49" w:rsidR="00F24BE9" w:rsidRDefault="00F24BE9">
      <w:pPr>
        <w:pStyle w:val="FootnoteText"/>
      </w:pPr>
      <w:r>
        <w:rPr>
          <w:rStyle w:val="FootnoteReference"/>
        </w:rPr>
        <w:footnoteRef/>
      </w:r>
      <w:r>
        <w:t xml:space="preserve"> See appendix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E93"/>
    <w:multiLevelType w:val="hybridMultilevel"/>
    <w:tmpl w:val="3A60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4C0289"/>
    <w:multiLevelType w:val="hybridMultilevel"/>
    <w:tmpl w:val="0BA4CD58"/>
    <w:lvl w:ilvl="0" w:tplc="C8A264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300E2F"/>
    <w:multiLevelType w:val="multilevel"/>
    <w:tmpl w:val="A7F2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E559E6"/>
    <w:multiLevelType w:val="hybridMultilevel"/>
    <w:tmpl w:val="342CC8CA"/>
    <w:lvl w:ilvl="0" w:tplc="7EBEC704">
      <w:start w:val="1"/>
      <w:numFmt w:val="bullet"/>
      <w:lvlText w:val="•"/>
      <w:lvlJc w:val="left"/>
      <w:pPr>
        <w:tabs>
          <w:tab w:val="num" w:pos="720"/>
        </w:tabs>
        <w:ind w:left="720" w:hanging="360"/>
      </w:pPr>
      <w:rPr>
        <w:rFonts w:ascii="Arial" w:hAnsi="Arial" w:hint="default"/>
      </w:rPr>
    </w:lvl>
    <w:lvl w:ilvl="1" w:tplc="7DDA705C" w:tentative="1">
      <w:start w:val="1"/>
      <w:numFmt w:val="bullet"/>
      <w:lvlText w:val="•"/>
      <w:lvlJc w:val="left"/>
      <w:pPr>
        <w:tabs>
          <w:tab w:val="num" w:pos="1440"/>
        </w:tabs>
        <w:ind w:left="1440" w:hanging="360"/>
      </w:pPr>
      <w:rPr>
        <w:rFonts w:ascii="Arial" w:hAnsi="Arial" w:hint="default"/>
      </w:rPr>
    </w:lvl>
    <w:lvl w:ilvl="2" w:tplc="FAC87D16" w:tentative="1">
      <w:start w:val="1"/>
      <w:numFmt w:val="bullet"/>
      <w:lvlText w:val="•"/>
      <w:lvlJc w:val="left"/>
      <w:pPr>
        <w:tabs>
          <w:tab w:val="num" w:pos="2160"/>
        </w:tabs>
        <w:ind w:left="2160" w:hanging="360"/>
      </w:pPr>
      <w:rPr>
        <w:rFonts w:ascii="Arial" w:hAnsi="Arial" w:hint="default"/>
      </w:rPr>
    </w:lvl>
    <w:lvl w:ilvl="3" w:tplc="1F1E1AC8" w:tentative="1">
      <w:start w:val="1"/>
      <w:numFmt w:val="bullet"/>
      <w:lvlText w:val="•"/>
      <w:lvlJc w:val="left"/>
      <w:pPr>
        <w:tabs>
          <w:tab w:val="num" w:pos="2880"/>
        </w:tabs>
        <w:ind w:left="2880" w:hanging="360"/>
      </w:pPr>
      <w:rPr>
        <w:rFonts w:ascii="Arial" w:hAnsi="Arial" w:hint="default"/>
      </w:rPr>
    </w:lvl>
    <w:lvl w:ilvl="4" w:tplc="C18E03B4" w:tentative="1">
      <w:start w:val="1"/>
      <w:numFmt w:val="bullet"/>
      <w:lvlText w:val="•"/>
      <w:lvlJc w:val="left"/>
      <w:pPr>
        <w:tabs>
          <w:tab w:val="num" w:pos="3600"/>
        </w:tabs>
        <w:ind w:left="3600" w:hanging="360"/>
      </w:pPr>
      <w:rPr>
        <w:rFonts w:ascii="Arial" w:hAnsi="Arial" w:hint="default"/>
      </w:rPr>
    </w:lvl>
    <w:lvl w:ilvl="5" w:tplc="5B5E901E" w:tentative="1">
      <w:start w:val="1"/>
      <w:numFmt w:val="bullet"/>
      <w:lvlText w:val="•"/>
      <w:lvlJc w:val="left"/>
      <w:pPr>
        <w:tabs>
          <w:tab w:val="num" w:pos="4320"/>
        </w:tabs>
        <w:ind w:left="4320" w:hanging="360"/>
      </w:pPr>
      <w:rPr>
        <w:rFonts w:ascii="Arial" w:hAnsi="Arial" w:hint="default"/>
      </w:rPr>
    </w:lvl>
    <w:lvl w:ilvl="6" w:tplc="56A0C8D6" w:tentative="1">
      <w:start w:val="1"/>
      <w:numFmt w:val="bullet"/>
      <w:lvlText w:val="•"/>
      <w:lvlJc w:val="left"/>
      <w:pPr>
        <w:tabs>
          <w:tab w:val="num" w:pos="5040"/>
        </w:tabs>
        <w:ind w:left="5040" w:hanging="360"/>
      </w:pPr>
      <w:rPr>
        <w:rFonts w:ascii="Arial" w:hAnsi="Arial" w:hint="default"/>
      </w:rPr>
    </w:lvl>
    <w:lvl w:ilvl="7" w:tplc="4FC6B0BC" w:tentative="1">
      <w:start w:val="1"/>
      <w:numFmt w:val="bullet"/>
      <w:lvlText w:val="•"/>
      <w:lvlJc w:val="left"/>
      <w:pPr>
        <w:tabs>
          <w:tab w:val="num" w:pos="5760"/>
        </w:tabs>
        <w:ind w:left="5760" w:hanging="360"/>
      </w:pPr>
      <w:rPr>
        <w:rFonts w:ascii="Arial" w:hAnsi="Arial" w:hint="default"/>
      </w:rPr>
    </w:lvl>
    <w:lvl w:ilvl="8" w:tplc="A82C26F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506200D"/>
    <w:multiLevelType w:val="hybridMultilevel"/>
    <w:tmpl w:val="97B0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275624">
    <w:abstractNumId w:val="2"/>
  </w:num>
  <w:num w:numId="2" w16cid:durableId="1326006388">
    <w:abstractNumId w:val="4"/>
  </w:num>
  <w:num w:numId="3" w16cid:durableId="1310792017">
    <w:abstractNumId w:val="3"/>
  </w:num>
  <w:num w:numId="4" w16cid:durableId="1334604794">
    <w:abstractNumId w:val="0"/>
  </w:num>
  <w:num w:numId="5" w16cid:durableId="210842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193"/>
    <w:rsid w:val="00004686"/>
    <w:rsid w:val="00007B5C"/>
    <w:rsid w:val="0001361E"/>
    <w:rsid w:val="00016022"/>
    <w:rsid w:val="00035278"/>
    <w:rsid w:val="00050DCC"/>
    <w:rsid w:val="000608DE"/>
    <w:rsid w:val="000638D6"/>
    <w:rsid w:val="00066CED"/>
    <w:rsid w:val="00067B2C"/>
    <w:rsid w:val="0008041F"/>
    <w:rsid w:val="000A7846"/>
    <w:rsid w:val="000B190B"/>
    <w:rsid w:val="000C0CFB"/>
    <w:rsid w:val="000C1BBC"/>
    <w:rsid w:val="000C6D01"/>
    <w:rsid w:val="000E55BF"/>
    <w:rsid w:val="0011777D"/>
    <w:rsid w:val="001263F7"/>
    <w:rsid w:val="00130061"/>
    <w:rsid w:val="0013670B"/>
    <w:rsid w:val="00142CDE"/>
    <w:rsid w:val="00147652"/>
    <w:rsid w:val="00164963"/>
    <w:rsid w:val="00164F57"/>
    <w:rsid w:val="00181FC3"/>
    <w:rsid w:val="001953B1"/>
    <w:rsid w:val="00195DE1"/>
    <w:rsid w:val="001A48B6"/>
    <w:rsid w:val="001B0694"/>
    <w:rsid w:val="001E0CB8"/>
    <w:rsid w:val="001E60BC"/>
    <w:rsid w:val="00207800"/>
    <w:rsid w:val="00216B63"/>
    <w:rsid w:val="002225D8"/>
    <w:rsid w:val="0022785A"/>
    <w:rsid w:val="00232F73"/>
    <w:rsid w:val="002370A2"/>
    <w:rsid w:val="00252B6A"/>
    <w:rsid w:val="002548D6"/>
    <w:rsid w:val="0025708A"/>
    <w:rsid w:val="0027217D"/>
    <w:rsid w:val="002843FF"/>
    <w:rsid w:val="002900B2"/>
    <w:rsid w:val="0029196A"/>
    <w:rsid w:val="002929EA"/>
    <w:rsid w:val="002A465D"/>
    <w:rsid w:val="002A50F1"/>
    <w:rsid w:val="002D0FC9"/>
    <w:rsid w:val="002D7C5B"/>
    <w:rsid w:val="002F6FBB"/>
    <w:rsid w:val="003171D4"/>
    <w:rsid w:val="00330847"/>
    <w:rsid w:val="00347D7A"/>
    <w:rsid w:val="003531EE"/>
    <w:rsid w:val="003605FA"/>
    <w:rsid w:val="00371B12"/>
    <w:rsid w:val="00391622"/>
    <w:rsid w:val="003A5AF0"/>
    <w:rsid w:val="003B1C18"/>
    <w:rsid w:val="003C3170"/>
    <w:rsid w:val="003E4453"/>
    <w:rsid w:val="0041085D"/>
    <w:rsid w:val="004208D9"/>
    <w:rsid w:val="00423C2E"/>
    <w:rsid w:val="00431B28"/>
    <w:rsid w:val="00434E06"/>
    <w:rsid w:val="00434E74"/>
    <w:rsid w:val="004360D6"/>
    <w:rsid w:val="00447C26"/>
    <w:rsid w:val="0045097B"/>
    <w:rsid w:val="004524E8"/>
    <w:rsid w:val="00456084"/>
    <w:rsid w:val="00457786"/>
    <w:rsid w:val="0046724F"/>
    <w:rsid w:val="004745A7"/>
    <w:rsid w:val="00474A48"/>
    <w:rsid w:val="0047667D"/>
    <w:rsid w:val="004901EE"/>
    <w:rsid w:val="004A0493"/>
    <w:rsid w:val="004B2B21"/>
    <w:rsid w:val="004B6F79"/>
    <w:rsid w:val="004C5A34"/>
    <w:rsid w:val="004D4D4D"/>
    <w:rsid w:val="005022B6"/>
    <w:rsid w:val="005161DF"/>
    <w:rsid w:val="0053544C"/>
    <w:rsid w:val="005439C7"/>
    <w:rsid w:val="005459F7"/>
    <w:rsid w:val="00555F14"/>
    <w:rsid w:val="005668F6"/>
    <w:rsid w:val="00572CF2"/>
    <w:rsid w:val="00577176"/>
    <w:rsid w:val="0058514A"/>
    <w:rsid w:val="00586427"/>
    <w:rsid w:val="0059198B"/>
    <w:rsid w:val="005943CE"/>
    <w:rsid w:val="005C1545"/>
    <w:rsid w:val="005C3CF7"/>
    <w:rsid w:val="005D431C"/>
    <w:rsid w:val="005E0C66"/>
    <w:rsid w:val="005E34A0"/>
    <w:rsid w:val="005E58F9"/>
    <w:rsid w:val="005F624E"/>
    <w:rsid w:val="00615D71"/>
    <w:rsid w:val="00630403"/>
    <w:rsid w:val="00634C50"/>
    <w:rsid w:val="006373D6"/>
    <w:rsid w:val="00653917"/>
    <w:rsid w:val="00662638"/>
    <w:rsid w:val="0066298F"/>
    <w:rsid w:val="006A0E8D"/>
    <w:rsid w:val="006B0D22"/>
    <w:rsid w:val="006B7A68"/>
    <w:rsid w:val="006C1191"/>
    <w:rsid w:val="006C3CC8"/>
    <w:rsid w:val="006F057F"/>
    <w:rsid w:val="00705245"/>
    <w:rsid w:val="00706A09"/>
    <w:rsid w:val="007071EF"/>
    <w:rsid w:val="00707327"/>
    <w:rsid w:val="0073063A"/>
    <w:rsid w:val="007520B2"/>
    <w:rsid w:val="007562B6"/>
    <w:rsid w:val="00761C9B"/>
    <w:rsid w:val="00773524"/>
    <w:rsid w:val="00774DD5"/>
    <w:rsid w:val="00786C63"/>
    <w:rsid w:val="00792D5E"/>
    <w:rsid w:val="0079703B"/>
    <w:rsid w:val="007A31A4"/>
    <w:rsid w:val="007A5EF8"/>
    <w:rsid w:val="007C1F19"/>
    <w:rsid w:val="007D1A15"/>
    <w:rsid w:val="007D5EBB"/>
    <w:rsid w:val="007F4844"/>
    <w:rsid w:val="00802AAB"/>
    <w:rsid w:val="00803606"/>
    <w:rsid w:val="00832C54"/>
    <w:rsid w:val="00847E24"/>
    <w:rsid w:val="008811CB"/>
    <w:rsid w:val="008975CE"/>
    <w:rsid w:val="008A4F10"/>
    <w:rsid w:val="008A7AAC"/>
    <w:rsid w:val="008B1EEB"/>
    <w:rsid w:val="008B4BFC"/>
    <w:rsid w:val="008F2B32"/>
    <w:rsid w:val="00905871"/>
    <w:rsid w:val="009103BF"/>
    <w:rsid w:val="009158E3"/>
    <w:rsid w:val="009206F5"/>
    <w:rsid w:val="00920D4E"/>
    <w:rsid w:val="0092126E"/>
    <w:rsid w:val="00944DFC"/>
    <w:rsid w:val="00955DA8"/>
    <w:rsid w:val="00965F25"/>
    <w:rsid w:val="00973C50"/>
    <w:rsid w:val="009800BB"/>
    <w:rsid w:val="009849EB"/>
    <w:rsid w:val="00997193"/>
    <w:rsid w:val="009A1D43"/>
    <w:rsid w:val="009F4384"/>
    <w:rsid w:val="00A071B4"/>
    <w:rsid w:val="00A10FBA"/>
    <w:rsid w:val="00A15A32"/>
    <w:rsid w:val="00A21EBE"/>
    <w:rsid w:val="00A322B2"/>
    <w:rsid w:val="00A407D1"/>
    <w:rsid w:val="00A6388C"/>
    <w:rsid w:val="00A92F8D"/>
    <w:rsid w:val="00A965E0"/>
    <w:rsid w:val="00AA22C4"/>
    <w:rsid w:val="00AB274F"/>
    <w:rsid w:val="00AE613C"/>
    <w:rsid w:val="00B11182"/>
    <w:rsid w:val="00B11310"/>
    <w:rsid w:val="00B234F8"/>
    <w:rsid w:val="00B34778"/>
    <w:rsid w:val="00B3661C"/>
    <w:rsid w:val="00B453A4"/>
    <w:rsid w:val="00B464F6"/>
    <w:rsid w:val="00B505F6"/>
    <w:rsid w:val="00B550E1"/>
    <w:rsid w:val="00B7235B"/>
    <w:rsid w:val="00B800B0"/>
    <w:rsid w:val="00B80F3A"/>
    <w:rsid w:val="00BA1069"/>
    <w:rsid w:val="00BA2D7E"/>
    <w:rsid w:val="00BA5782"/>
    <w:rsid w:val="00BB1686"/>
    <w:rsid w:val="00BB21BD"/>
    <w:rsid w:val="00BC4266"/>
    <w:rsid w:val="00BE5FF1"/>
    <w:rsid w:val="00BF5CD0"/>
    <w:rsid w:val="00C136A4"/>
    <w:rsid w:val="00C1423E"/>
    <w:rsid w:val="00C156E0"/>
    <w:rsid w:val="00C253AE"/>
    <w:rsid w:val="00C31193"/>
    <w:rsid w:val="00C32B35"/>
    <w:rsid w:val="00C35B77"/>
    <w:rsid w:val="00C5673E"/>
    <w:rsid w:val="00C57C0B"/>
    <w:rsid w:val="00C65264"/>
    <w:rsid w:val="00C75D5B"/>
    <w:rsid w:val="00C7789B"/>
    <w:rsid w:val="00C77C27"/>
    <w:rsid w:val="00C93104"/>
    <w:rsid w:val="00CA2687"/>
    <w:rsid w:val="00CB746B"/>
    <w:rsid w:val="00CC17E1"/>
    <w:rsid w:val="00CC3BC4"/>
    <w:rsid w:val="00CC603E"/>
    <w:rsid w:val="00CD2FC9"/>
    <w:rsid w:val="00CE3ABC"/>
    <w:rsid w:val="00CF11CB"/>
    <w:rsid w:val="00CF21F9"/>
    <w:rsid w:val="00D21217"/>
    <w:rsid w:val="00D36280"/>
    <w:rsid w:val="00D467FD"/>
    <w:rsid w:val="00D8502C"/>
    <w:rsid w:val="00D8735B"/>
    <w:rsid w:val="00D91194"/>
    <w:rsid w:val="00D92FA3"/>
    <w:rsid w:val="00DA1559"/>
    <w:rsid w:val="00DA7261"/>
    <w:rsid w:val="00DD4CA6"/>
    <w:rsid w:val="00DE7216"/>
    <w:rsid w:val="00E1373E"/>
    <w:rsid w:val="00E13C75"/>
    <w:rsid w:val="00E1505F"/>
    <w:rsid w:val="00E227A0"/>
    <w:rsid w:val="00E472FF"/>
    <w:rsid w:val="00E52482"/>
    <w:rsid w:val="00E67F18"/>
    <w:rsid w:val="00E747E1"/>
    <w:rsid w:val="00E77ED3"/>
    <w:rsid w:val="00EA3BDA"/>
    <w:rsid w:val="00EA72A9"/>
    <w:rsid w:val="00EB035F"/>
    <w:rsid w:val="00EB2096"/>
    <w:rsid w:val="00EE50EA"/>
    <w:rsid w:val="00EF384C"/>
    <w:rsid w:val="00EF3E87"/>
    <w:rsid w:val="00F02FDE"/>
    <w:rsid w:val="00F06630"/>
    <w:rsid w:val="00F2292E"/>
    <w:rsid w:val="00F23ACE"/>
    <w:rsid w:val="00F24BE9"/>
    <w:rsid w:val="00F3068A"/>
    <w:rsid w:val="00F41204"/>
    <w:rsid w:val="00F51B2B"/>
    <w:rsid w:val="00F5501D"/>
    <w:rsid w:val="00F607B6"/>
    <w:rsid w:val="00F7121B"/>
    <w:rsid w:val="00F72F5A"/>
    <w:rsid w:val="00F77131"/>
    <w:rsid w:val="00F852D1"/>
    <w:rsid w:val="00F9044F"/>
    <w:rsid w:val="00F91F7E"/>
    <w:rsid w:val="00FA0327"/>
    <w:rsid w:val="00FB6593"/>
    <w:rsid w:val="00FD0DFF"/>
    <w:rsid w:val="00FD641D"/>
    <w:rsid w:val="00FE4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037D7"/>
  <w15:chartTrackingRefBased/>
  <w15:docId w15:val="{A71C0A95-34F9-4457-8CEE-F79001BE8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2C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CC603E"/>
    <w:rPr>
      <w:sz w:val="20"/>
      <w:szCs w:val="20"/>
    </w:rPr>
  </w:style>
  <w:style w:type="character" w:customStyle="1" w:styleId="EndnoteTextChar">
    <w:name w:val="Endnote Text Char"/>
    <w:basedOn w:val="DefaultParagraphFont"/>
    <w:link w:val="EndnoteText"/>
    <w:uiPriority w:val="99"/>
    <w:semiHidden/>
    <w:rsid w:val="00CC603E"/>
    <w:rPr>
      <w:sz w:val="20"/>
      <w:szCs w:val="20"/>
    </w:rPr>
  </w:style>
  <w:style w:type="character" w:styleId="EndnoteReference">
    <w:name w:val="endnote reference"/>
    <w:basedOn w:val="DefaultParagraphFont"/>
    <w:uiPriority w:val="99"/>
    <w:semiHidden/>
    <w:unhideWhenUsed/>
    <w:rsid w:val="00CC603E"/>
    <w:rPr>
      <w:vertAlign w:val="superscript"/>
    </w:rPr>
  </w:style>
  <w:style w:type="paragraph" w:styleId="FootnoteText">
    <w:name w:val="footnote text"/>
    <w:basedOn w:val="Normal"/>
    <w:link w:val="FootnoteTextChar"/>
    <w:uiPriority w:val="99"/>
    <w:unhideWhenUsed/>
    <w:rsid w:val="00CC603E"/>
    <w:rPr>
      <w:sz w:val="20"/>
      <w:szCs w:val="20"/>
    </w:rPr>
  </w:style>
  <w:style w:type="character" w:customStyle="1" w:styleId="FootnoteTextChar">
    <w:name w:val="Footnote Text Char"/>
    <w:basedOn w:val="DefaultParagraphFont"/>
    <w:link w:val="FootnoteText"/>
    <w:uiPriority w:val="99"/>
    <w:rsid w:val="00CC603E"/>
    <w:rPr>
      <w:sz w:val="20"/>
      <w:szCs w:val="20"/>
    </w:rPr>
  </w:style>
  <w:style w:type="character" w:styleId="FootnoteReference">
    <w:name w:val="footnote reference"/>
    <w:basedOn w:val="DefaultParagraphFont"/>
    <w:uiPriority w:val="99"/>
    <w:semiHidden/>
    <w:unhideWhenUsed/>
    <w:rsid w:val="00CC603E"/>
    <w:rPr>
      <w:vertAlign w:val="superscript"/>
    </w:rPr>
  </w:style>
  <w:style w:type="character" w:styleId="Hyperlink">
    <w:name w:val="Hyperlink"/>
    <w:basedOn w:val="DefaultParagraphFont"/>
    <w:uiPriority w:val="99"/>
    <w:unhideWhenUsed/>
    <w:rsid w:val="003605FA"/>
    <w:rPr>
      <w:color w:val="0563C1" w:themeColor="hyperlink"/>
      <w:u w:val="single"/>
    </w:rPr>
  </w:style>
  <w:style w:type="character" w:styleId="UnresolvedMention">
    <w:name w:val="Unresolved Mention"/>
    <w:basedOn w:val="DefaultParagraphFont"/>
    <w:uiPriority w:val="99"/>
    <w:semiHidden/>
    <w:unhideWhenUsed/>
    <w:rsid w:val="003605FA"/>
    <w:rPr>
      <w:color w:val="605E5C"/>
      <w:shd w:val="clear" w:color="auto" w:fill="E1DFDD"/>
    </w:rPr>
  </w:style>
  <w:style w:type="paragraph" w:styleId="Header">
    <w:name w:val="header"/>
    <w:basedOn w:val="Normal"/>
    <w:link w:val="HeaderChar"/>
    <w:uiPriority w:val="99"/>
    <w:unhideWhenUsed/>
    <w:rsid w:val="006C1191"/>
    <w:pPr>
      <w:tabs>
        <w:tab w:val="center" w:pos="4680"/>
        <w:tab w:val="right" w:pos="9360"/>
      </w:tabs>
    </w:pPr>
  </w:style>
  <w:style w:type="character" w:customStyle="1" w:styleId="HeaderChar">
    <w:name w:val="Header Char"/>
    <w:basedOn w:val="DefaultParagraphFont"/>
    <w:link w:val="Header"/>
    <w:uiPriority w:val="99"/>
    <w:rsid w:val="006C1191"/>
  </w:style>
  <w:style w:type="paragraph" w:styleId="Footer">
    <w:name w:val="footer"/>
    <w:basedOn w:val="Normal"/>
    <w:link w:val="FooterChar"/>
    <w:uiPriority w:val="99"/>
    <w:unhideWhenUsed/>
    <w:rsid w:val="006C1191"/>
    <w:pPr>
      <w:tabs>
        <w:tab w:val="center" w:pos="4680"/>
        <w:tab w:val="right" w:pos="9360"/>
      </w:tabs>
    </w:pPr>
  </w:style>
  <w:style w:type="character" w:customStyle="1" w:styleId="FooterChar">
    <w:name w:val="Footer Char"/>
    <w:basedOn w:val="DefaultParagraphFont"/>
    <w:link w:val="Footer"/>
    <w:uiPriority w:val="99"/>
    <w:rsid w:val="006C1191"/>
  </w:style>
  <w:style w:type="character" w:styleId="FollowedHyperlink">
    <w:name w:val="FollowedHyperlink"/>
    <w:basedOn w:val="DefaultParagraphFont"/>
    <w:uiPriority w:val="99"/>
    <w:semiHidden/>
    <w:unhideWhenUsed/>
    <w:rsid w:val="00067B2C"/>
    <w:rPr>
      <w:color w:val="954F72" w:themeColor="followedHyperlink"/>
      <w:u w:val="single"/>
    </w:rPr>
  </w:style>
  <w:style w:type="paragraph" w:styleId="ListParagraph">
    <w:name w:val="List Paragraph"/>
    <w:basedOn w:val="Normal"/>
    <w:uiPriority w:val="34"/>
    <w:qFormat/>
    <w:rsid w:val="00F7121B"/>
    <w:pPr>
      <w:ind w:left="720"/>
      <w:contextualSpacing/>
    </w:pPr>
  </w:style>
  <w:style w:type="paragraph" w:styleId="Revision">
    <w:name w:val="Revision"/>
    <w:hidden/>
    <w:uiPriority w:val="99"/>
    <w:semiHidden/>
    <w:rsid w:val="00D467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1943">
      <w:bodyDiv w:val="1"/>
      <w:marLeft w:val="0"/>
      <w:marRight w:val="0"/>
      <w:marTop w:val="0"/>
      <w:marBottom w:val="0"/>
      <w:divBdr>
        <w:top w:val="none" w:sz="0" w:space="0" w:color="auto"/>
        <w:left w:val="none" w:sz="0" w:space="0" w:color="auto"/>
        <w:bottom w:val="none" w:sz="0" w:space="0" w:color="auto"/>
        <w:right w:val="none" w:sz="0" w:space="0" w:color="auto"/>
      </w:divBdr>
    </w:div>
    <w:div w:id="205871631">
      <w:bodyDiv w:val="1"/>
      <w:marLeft w:val="0"/>
      <w:marRight w:val="0"/>
      <w:marTop w:val="0"/>
      <w:marBottom w:val="0"/>
      <w:divBdr>
        <w:top w:val="none" w:sz="0" w:space="0" w:color="auto"/>
        <w:left w:val="none" w:sz="0" w:space="0" w:color="auto"/>
        <w:bottom w:val="none" w:sz="0" w:space="0" w:color="auto"/>
        <w:right w:val="none" w:sz="0" w:space="0" w:color="auto"/>
      </w:divBdr>
      <w:divsChild>
        <w:div w:id="358238589">
          <w:marLeft w:val="0"/>
          <w:marRight w:val="0"/>
          <w:marTop w:val="0"/>
          <w:marBottom w:val="420"/>
          <w:divBdr>
            <w:top w:val="none" w:sz="0" w:space="0" w:color="auto"/>
            <w:left w:val="none" w:sz="0" w:space="0" w:color="auto"/>
            <w:bottom w:val="none" w:sz="0" w:space="0" w:color="auto"/>
            <w:right w:val="none" w:sz="0" w:space="0" w:color="auto"/>
          </w:divBdr>
          <w:divsChild>
            <w:div w:id="893003339">
              <w:marLeft w:val="0"/>
              <w:marRight w:val="0"/>
              <w:marTop w:val="150"/>
              <w:marBottom w:val="0"/>
              <w:divBdr>
                <w:top w:val="none" w:sz="0" w:space="0" w:color="auto"/>
                <w:left w:val="none" w:sz="0" w:space="0" w:color="auto"/>
                <w:bottom w:val="none" w:sz="0" w:space="0" w:color="auto"/>
                <w:right w:val="none" w:sz="0" w:space="0" w:color="auto"/>
              </w:divBdr>
            </w:div>
          </w:divsChild>
        </w:div>
        <w:div w:id="1358896840">
          <w:marLeft w:val="0"/>
          <w:marRight w:val="0"/>
          <w:marTop w:val="0"/>
          <w:marBottom w:val="450"/>
          <w:divBdr>
            <w:top w:val="none" w:sz="0" w:space="0" w:color="auto"/>
            <w:left w:val="none" w:sz="0" w:space="0" w:color="auto"/>
            <w:bottom w:val="none" w:sz="0" w:space="0" w:color="auto"/>
            <w:right w:val="none" w:sz="0" w:space="0" w:color="auto"/>
          </w:divBdr>
        </w:div>
        <w:div w:id="83648989">
          <w:marLeft w:val="0"/>
          <w:marRight w:val="0"/>
          <w:marTop w:val="0"/>
          <w:marBottom w:val="540"/>
          <w:divBdr>
            <w:top w:val="none" w:sz="0" w:space="0" w:color="auto"/>
            <w:left w:val="none" w:sz="0" w:space="0" w:color="auto"/>
            <w:bottom w:val="none" w:sz="0" w:space="0" w:color="auto"/>
            <w:right w:val="none" w:sz="0" w:space="0" w:color="auto"/>
          </w:divBdr>
          <w:divsChild>
            <w:div w:id="292176711">
              <w:marLeft w:val="0"/>
              <w:marRight w:val="0"/>
              <w:marTop w:val="0"/>
              <w:marBottom w:val="0"/>
              <w:divBdr>
                <w:top w:val="none" w:sz="0" w:space="0" w:color="auto"/>
                <w:left w:val="none" w:sz="0" w:space="0" w:color="auto"/>
                <w:bottom w:val="none" w:sz="0" w:space="0" w:color="auto"/>
                <w:right w:val="none" w:sz="0" w:space="0" w:color="auto"/>
              </w:divBdr>
              <w:divsChild>
                <w:div w:id="1815099089">
                  <w:marLeft w:val="0"/>
                  <w:marRight w:val="0"/>
                  <w:marTop w:val="0"/>
                  <w:marBottom w:val="0"/>
                  <w:divBdr>
                    <w:top w:val="none" w:sz="0" w:space="0" w:color="auto"/>
                    <w:left w:val="none" w:sz="0" w:space="0" w:color="auto"/>
                    <w:bottom w:val="none" w:sz="0" w:space="0" w:color="auto"/>
                    <w:right w:val="none" w:sz="0" w:space="0" w:color="auto"/>
                  </w:divBdr>
                  <w:divsChild>
                    <w:div w:id="870797357">
                      <w:marLeft w:val="0"/>
                      <w:marRight w:val="0"/>
                      <w:marTop w:val="0"/>
                      <w:marBottom w:val="0"/>
                      <w:divBdr>
                        <w:top w:val="none" w:sz="0" w:space="0" w:color="auto"/>
                        <w:left w:val="none" w:sz="0" w:space="0" w:color="auto"/>
                        <w:bottom w:val="none" w:sz="0" w:space="0" w:color="auto"/>
                        <w:right w:val="none" w:sz="0" w:space="0" w:color="auto"/>
                      </w:divBdr>
                      <w:divsChild>
                        <w:div w:id="359015878">
                          <w:marLeft w:val="0"/>
                          <w:marRight w:val="0"/>
                          <w:marTop w:val="0"/>
                          <w:marBottom w:val="0"/>
                          <w:divBdr>
                            <w:top w:val="none" w:sz="0" w:space="0" w:color="auto"/>
                            <w:left w:val="none" w:sz="0" w:space="0" w:color="auto"/>
                            <w:bottom w:val="none" w:sz="0" w:space="0" w:color="auto"/>
                            <w:right w:val="none" w:sz="0" w:space="0" w:color="auto"/>
                          </w:divBdr>
                          <w:divsChild>
                            <w:div w:id="2077630927">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14526">
      <w:bodyDiv w:val="1"/>
      <w:marLeft w:val="0"/>
      <w:marRight w:val="0"/>
      <w:marTop w:val="0"/>
      <w:marBottom w:val="0"/>
      <w:divBdr>
        <w:top w:val="none" w:sz="0" w:space="0" w:color="auto"/>
        <w:left w:val="none" w:sz="0" w:space="0" w:color="auto"/>
        <w:bottom w:val="none" w:sz="0" w:space="0" w:color="auto"/>
        <w:right w:val="none" w:sz="0" w:space="0" w:color="auto"/>
      </w:divBdr>
    </w:div>
    <w:div w:id="791095281">
      <w:bodyDiv w:val="1"/>
      <w:marLeft w:val="0"/>
      <w:marRight w:val="0"/>
      <w:marTop w:val="0"/>
      <w:marBottom w:val="0"/>
      <w:divBdr>
        <w:top w:val="none" w:sz="0" w:space="0" w:color="auto"/>
        <w:left w:val="none" w:sz="0" w:space="0" w:color="auto"/>
        <w:bottom w:val="none" w:sz="0" w:space="0" w:color="auto"/>
        <w:right w:val="none" w:sz="0" w:space="0" w:color="auto"/>
      </w:divBdr>
    </w:div>
    <w:div w:id="990912427">
      <w:bodyDiv w:val="1"/>
      <w:marLeft w:val="0"/>
      <w:marRight w:val="0"/>
      <w:marTop w:val="0"/>
      <w:marBottom w:val="0"/>
      <w:divBdr>
        <w:top w:val="none" w:sz="0" w:space="0" w:color="auto"/>
        <w:left w:val="none" w:sz="0" w:space="0" w:color="auto"/>
        <w:bottom w:val="none" w:sz="0" w:space="0" w:color="auto"/>
        <w:right w:val="none" w:sz="0" w:space="0" w:color="auto"/>
      </w:divBdr>
    </w:div>
    <w:div w:id="1100375459">
      <w:bodyDiv w:val="1"/>
      <w:marLeft w:val="0"/>
      <w:marRight w:val="0"/>
      <w:marTop w:val="0"/>
      <w:marBottom w:val="0"/>
      <w:divBdr>
        <w:top w:val="none" w:sz="0" w:space="0" w:color="auto"/>
        <w:left w:val="none" w:sz="0" w:space="0" w:color="auto"/>
        <w:bottom w:val="none" w:sz="0" w:space="0" w:color="auto"/>
        <w:right w:val="none" w:sz="0" w:space="0" w:color="auto"/>
      </w:divBdr>
    </w:div>
    <w:div w:id="1515533412">
      <w:bodyDiv w:val="1"/>
      <w:marLeft w:val="0"/>
      <w:marRight w:val="0"/>
      <w:marTop w:val="0"/>
      <w:marBottom w:val="0"/>
      <w:divBdr>
        <w:top w:val="none" w:sz="0" w:space="0" w:color="auto"/>
        <w:left w:val="none" w:sz="0" w:space="0" w:color="auto"/>
        <w:bottom w:val="none" w:sz="0" w:space="0" w:color="auto"/>
        <w:right w:val="none" w:sz="0" w:space="0" w:color="auto"/>
      </w:divBdr>
      <w:divsChild>
        <w:div w:id="481972201">
          <w:marLeft w:val="0"/>
          <w:marRight w:val="0"/>
          <w:marTop w:val="0"/>
          <w:marBottom w:val="420"/>
          <w:divBdr>
            <w:top w:val="none" w:sz="0" w:space="0" w:color="auto"/>
            <w:left w:val="none" w:sz="0" w:space="0" w:color="auto"/>
            <w:bottom w:val="none" w:sz="0" w:space="0" w:color="auto"/>
            <w:right w:val="none" w:sz="0" w:space="0" w:color="auto"/>
          </w:divBdr>
          <w:divsChild>
            <w:div w:id="2060937344">
              <w:marLeft w:val="0"/>
              <w:marRight w:val="0"/>
              <w:marTop w:val="150"/>
              <w:marBottom w:val="0"/>
              <w:divBdr>
                <w:top w:val="none" w:sz="0" w:space="0" w:color="auto"/>
                <w:left w:val="none" w:sz="0" w:space="0" w:color="auto"/>
                <w:bottom w:val="none" w:sz="0" w:space="0" w:color="auto"/>
                <w:right w:val="none" w:sz="0" w:space="0" w:color="auto"/>
              </w:divBdr>
            </w:div>
          </w:divsChild>
        </w:div>
        <w:div w:id="746925135">
          <w:marLeft w:val="0"/>
          <w:marRight w:val="0"/>
          <w:marTop w:val="0"/>
          <w:marBottom w:val="450"/>
          <w:divBdr>
            <w:top w:val="none" w:sz="0" w:space="0" w:color="auto"/>
            <w:left w:val="none" w:sz="0" w:space="0" w:color="auto"/>
            <w:bottom w:val="none" w:sz="0" w:space="0" w:color="auto"/>
            <w:right w:val="none" w:sz="0" w:space="0" w:color="auto"/>
          </w:divBdr>
        </w:div>
        <w:div w:id="960306517">
          <w:marLeft w:val="0"/>
          <w:marRight w:val="0"/>
          <w:marTop w:val="0"/>
          <w:marBottom w:val="540"/>
          <w:divBdr>
            <w:top w:val="none" w:sz="0" w:space="0" w:color="auto"/>
            <w:left w:val="none" w:sz="0" w:space="0" w:color="auto"/>
            <w:bottom w:val="none" w:sz="0" w:space="0" w:color="auto"/>
            <w:right w:val="none" w:sz="0" w:space="0" w:color="auto"/>
          </w:divBdr>
          <w:divsChild>
            <w:div w:id="1685356244">
              <w:marLeft w:val="0"/>
              <w:marRight w:val="0"/>
              <w:marTop w:val="0"/>
              <w:marBottom w:val="0"/>
              <w:divBdr>
                <w:top w:val="none" w:sz="0" w:space="0" w:color="auto"/>
                <w:left w:val="none" w:sz="0" w:space="0" w:color="auto"/>
                <w:bottom w:val="none" w:sz="0" w:space="0" w:color="auto"/>
                <w:right w:val="none" w:sz="0" w:space="0" w:color="auto"/>
              </w:divBdr>
              <w:divsChild>
                <w:div w:id="1948735293">
                  <w:marLeft w:val="0"/>
                  <w:marRight w:val="0"/>
                  <w:marTop w:val="0"/>
                  <w:marBottom w:val="0"/>
                  <w:divBdr>
                    <w:top w:val="none" w:sz="0" w:space="0" w:color="auto"/>
                    <w:left w:val="none" w:sz="0" w:space="0" w:color="auto"/>
                    <w:bottom w:val="none" w:sz="0" w:space="0" w:color="auto"/>
                    <w:right w:val="none" w:sz="0" w:space="0" w:color="auto"/>
                  </w:divBdr>
                  <w:divsChild>
                    <w:div w:id="986007106">
                      <w:marLeft w:val="0"/>
                      <w:marRight w:val="0"/>
                      <w:marTop w:val="0"/>
                      <w:marBottom w:val="0"/>
                      <w:divBdr>
                        <w:top w:val="none" w:sz="0" w:space="0" w:color="auto"/>
                        <w:left w:val="none" w:sz="0" w:space="0" w:color="auto"/>
                        <w:bottom w:val="none" w:sz="0" w:space="0" w:color="auto"/>
                        <w:right w:val="none" w:sz="0" w:space="0" w:color="auto"/>
                      </w:divBdr>
                      <w:divsChild>
                        <w:div w:id="60293181">
                          <w:marLeft w:val="0"/>
                          <w:marRight w:val="0"/>
                          <w:marTop w:val="0"/>
                          <w:marBottom w:val="0"/>
                          <w:divBdr>
                            <w:top w:val="none" w:sz="0" w:space="0" w:color="auto"/>
                            <w:left w:val="none" w:sz="0" w:space="0" w:color="auto"/>
                            <w:bottom w:val="none" w:sz="0" w:space="0" w:color="auto"/>
                            <w:right w:val="none" w:sz="0" w:space="0" w:color="auto"/>
                          </w:divBdr>
                          <w:divsChild>
                            <w:div w:id="1544098721">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214788">
      <w:bodyDiv w:val="1"/>
      <w:marLeft w:val="0"/>
      <w:marRight w:val="0"/>
      <w:marTop w:val="0"/>
      <w:marBottom w:val="0"/>
      <w:divBdr>
        <w:top w:val="none" w:sz="0" w:space="0" w:color="auto"/>
        <w:left w:val="none" w:sz="0" w:space="0" w:color="auto"/>
        <w:bottom w:val="none" w:sz="0" w:space="0" w:color="auto"/>
        <w:right w:val="none" w:sz="0" w:space="0" w:color="auto"/>
      </w:divBdr>
    </w:div>
    <w:div w:id="1896963004">
      <w:bodyDiv w:val="1"/>
      <w:marLeft w:val="0"/>
      <w:marRight w:val="0"/>
      <w:marTop w:val="0"/>
      <w:marBottom w:val="0"/>
      <w:divBdr>
        <w:top w:val="none" w:sz="0" w:space="0" w:color="auto"/>
        <w:left w:val="none" w:sz="0" w:space="0" w:color="auto"/>
        <w:bottom w:val="none" w:sz="0" w:space="0" w:color="auto"/>
        <w:right w:val="none" w:sz="0" w:space="0" w:color="auto"/>
      </w:divBdr>
    </w:div>
    <w:div w:id="1942950559">
      <w:bodyDiv w:val="1"/>
      <w:marLeft w:val="0"/>
      <w:marRight w:val="0"/>
      <w:marTop w:val="0"/>
      <w:marBottom w:val="0"/>
      <w:divBdr>
        <w:top w:val="none" w:sz="0" w:space="0" w:color="auto"/>
        <w:left w:val="none" w:sz="0" w:space="0" w:color="auto"/>
        <w:bottom w:val="none" w:sz="0" w:space="0" w:color="auto"/>
        <w:right w:val="none" w:sz="0" w:space="0" w:color="auto"/>
      </w:divBdr>
    </w:div>
    <w:div w:id="199039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87/fb0a0a93-en"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7FD9A-BA64-4FCE-8163-66574A59B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20</Pages>
  <Words>3072</Words>
  <Characters>17147</Characters>
  <Application>Microsoft Office Word</Application>
  <DocSecurity>0</DocSecurity>
  <Lines>519</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 BOMBA</dc:creator>
  <cp:keywords/>
  <dc:description/>
  <cp:lastModifiedBy>Frederic Bomba</cp:lastModifiedBy>
  <cp:revision>52</cp:revision>
  <dcterms:created xsi:type="dcterms:W3CDTF">2024-12-12T01:18:00Z</dcterms:created>
  <dcterms:modified xsi:type="dcterms:W3CDTF">2025-10-11T18:11:00Z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d21252d8-4eef-405e-b1b6-0480e57a8057</vt:lpwstr>
  </property>
</Properties>
</file>