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rFonts w:ascii="Calibri" w:hAnsi="Calibri"/>
          <w:b/>
          <w:i w:val="0"/>
          <w:color w:val="0B7A75"/>
          <w:sz w:val="22"/>
        </w:rPr>
        <w:t>BRAHMSAI</w:t>
      </w:r>
    </w:p>
    <w:p>
      <w:pPr>
        <w:spacing w:before="0" w:after="80" w:line="264" w:lineRule="auto"/>
        <w:pBdr>
          <w:bottom w:val="single" w:sz="18" w:space="10" w:color="0B7A75"/>
        </w:pBdr>
      </w:pPr>
      <w:r>
        <w:rPr>
          <w:rFonts w:ascii="Calibri" w:hAnsi="Calibri"/>
          <w:b/>
          <w:i w:val="0"/>
          <w:color w:val="0D2B55"/>
          <w:sz w:val="48"/>
        </w:rPr>
        <w:t>Clinical Decision Support Tool Design Document</w:t>
      </w:r>
    </w:p>
    <w:p>
      <w:pPr>
        <w:spacing w:before="0" w:after="280" w:line="264" w:lineRule="auto"/>
      </w:pPr>
      <w:r>
        <w:rPr>
          <w:rFonts w:ascii="Calibri" w:hAnsi="Calibri"/>
          <w:b w:val="0"/>
          <w:i w:val="0"/>
          <w:color w:val="6B8099"/>
          <w:sz w:val="25"/>
        </w:rPr>
        <w:t>PCT-guided antibiotic stewardship with local model-key execution, prompt-injection protection, kinetic analysis, and multi-provider LLM support.</w:t>
      </w:r>
    </w:p>
    <w:tbl>
      <w:tblPr>
        <w:tblW w:type="dxa" w:w="9360"/>
        <w:tblLook w:firstColumn="1" w:firstRow="1" w:lastColumn="0" w:lastRow="0" w:noHBand="0" w:noVBand="1" w:val="04A0"/>
        <w:tblInd w:w="120" w:type="dxa"/>
        <w:tblLayout w:type="fixed"/>
        <w:tblBorders>
          <w:top w:val="single" w:sz="4" w:space="0" w:color="D6E2EC"/>
          <w:left w:val="single" w:sz="4" w:space="0" w:color="D6E2EC"/>
          <w:bottom w:val="single" w:sz="4" w:space="0" w:color="D6E2EC"/>
          <w:right w:val="single" w:sz="4" w:space="0" w:color="D6E2EC"/>
          <w:insideH w:val="single" w:sz="4" w:space="0" w:color="D6E2EC"/>
          <w:insideV w:val="single" w:sz="4" w:space="0" w:color="D6E2EC"/>
        </w:tblBorders>
      </w:tblPr>
      <w:tblGrid>
        <w:gridCol w:w="1700"/>
        <w:gridCol w:w="7660"/>
      </w:tblGrid>
      <w:tr>
        <w:tc>
          <w:tcPr>
            <w:tcW w:type="dxa" w:w="1700"/>
            <w:tcMar>
              <w:top w:w="80" w:type="dxa"/>
              <w:bottom w:w="80" w:type="dxa"/>
              <w:start w:w="120" w:type="dxa"/>
              <w:end w:w="120" w:type="dxa"/>
            </w:tcMar>
            <w:vAlign w:val="center"/>
            <w:shd w:fill="D6E8F7"/>
          </w:tcPr>
          <w:p>
            <w:r>
              <w:rPr>
                <w:rFonts w:ascii="Calibri" w:hAnsi="Calibri"/>
                <w:b/>
                <w:color w:val="0D2B55"/>
                <w:sz w:val="19"/>
              </w:rPr>
              <w:t>Product</w:t>
            </w:r>
          </w:p>
        </w:tc>
        <w:tc>
          <w:tcPr>
            <w:tcW w:type="dxa" w:w="7660"/>
            <w:tcMar>
              <w:top w:w="80" w:type="dxa"/>
              <w:bottom w:w="80" w:type="dxa"/>
              <w:start w:w="120" w:type="dxa"/>
              <w:end w:w="120" w:type="dxa"/>
            </w:tcMar>
            <w:vAlign w:val="center"/>
          </w:tcPr>
          <w:p>
            <w:r>
              <w:rPr>
                <w:rFonts w:ascii="Calibri" w:hAnsi="Calibri"/>
                <w:color w:val="102033"/>
                <w:sz w:val="21"/>
              </w:rPr>
              <w:t>BrahmsAI</w:t>
            </w:r>
          </w:p>
        </w:tc>
      </w:tr>
      <w:tr>
        <w:tc>
          <w:tcPr>
            <w:tcW w:type="dxa" w:w="1700"/>
            <w:tcMar>
              <w:top w:w="80" w:type="dxa"/>
              <w:bottom w:w="80" w:type="dxa"/>
              <w:start w:w="120" w:type="dxa"/>
              <w:end w:w="120" w:type="dxa"/>
            </w:tcMar>
            <w:vAlign w:val="center"/>
            <w:shd w:fill="CCF0EE"/>
          </w:tcPr>
          <w:p>
            <w:r>
              <w:rPr>
                <w:rFonts w:ascii="Calibri" w:hAnsi="Calibri"/>
                <w:b/>
                <w:color w:val="0D2B55"/>
                <w:sz w:val="19"/>
              </w:rPr>
              <w:t>Purpose</w:t>
            </w:r>
          </w:p>
        </w:tc>
        <w:tc>
          <w:tcPr>
            <w:tcW w:type="dxa" w:w="7660"/>
            <w:tcMar>
              <w:top w:w="80" w:type="dxa"/>
              <w:bottom w:w="80" w:type="dxa"/>
              <w:start w:w="120" w:type="dxa"/>
              <w:end w:w="120" w:type="dxa"/>
            </w:tcMar>
            <w:vAlign w:val="center"/>
          </w:tcPr>
          <w:p>
            <w:r>
              <w:rPr>
                <w:rFonts w:ascii="Calibri" w:hAnsi="Calibri"/>
                <w:color w:val="102033"/>
                <w:sz w:val="21"/>
              </w:rPr>
              <w:t>Research-only PCT biomarker decision support</w:t>
            </w:r>
          </w:p>
        </w:tc>
      </w:tr>
      <w:tr>
        <w:tc>
          <w:tcPr>
            <w:tcW w:type="dxa" w:w="1700"/>
            <w:tcMar>
              <w:top w:w="80" w:type="dxa"/>
              <w:bottom w:w="80" w:type="dxa"/>
              <w:start w:w="120" w:type="dxa"/>
              <w:end w:w="120" w:type="dxa"/>
            </w:tcMar>
            <w:vAlign w:val="center"/>
            <w:shd w:fill="D6E8F7"/>
          </w:tcPr>
          <w:p>
            <w:r>
              <w:rPr>
                <w:rFonts w:ascii="Calibri" w:hAnsi="Calibri"/>
                <w:b/>
                <w:color w:val="0D2B55"/>
                <w:sz w:val="19"/>
              </w:rPr>
              <w:t>Current build</w:t>
            </w:r>
          </w:p>
        </w:tc>
        <w:tc>
          <w:tcPr>
            <w:tcW w:type="dxa" w:w="7660"/>
            <w:tcMar>
              <w:top w:w="80" w:type="dxa"/>
              <w:bottom w:w="80" w:type="dxa"/>
              <w:start w:w="120" w:type="dxa"/>
              <w:end w:w="120" w:type="dxa"/>
            </w:tcMar>
            <w:vAlign w:val="center"/>
          </w:tcPr>
          <w:p>
            <w:r>
              <w:rPr>
                <w:rFonts w:ascii="Calibri" w:hAnsi="Calibri"/>
                <w:color w:val="102033"/>
                <w:sz w:val="21"/>
              </w:rPr>
              <w:t>Local FastAPI app with browser-based clinical cockpit</w:t>
            </w:r>
          </w:p>
        </w:tc>
      </w:tr>
      <w:tr>
        <w:tc>
          <w:tcPr>
            <w:tcW w:type="dxa" w:w="1700"/>
            <w:tcMar>
              <w:top w:w="80" w:type="dxa"/>
              <w:bottom w:w="80" w:type="dxa"/>
              <w:start w:w="120" w:type="dxa"/>
              <w:end w:w="120" w:type="dxa"/>
            </w:tcMar>
            <w:vAlign w:val="center"/>
            <w:shd w:fill="CCF0EE"/>
          </w:tcPr>
          <w:p>
            <w:r>
              <w:rPr>
                <w:rFonts w:ascii="Calibri" w:hAnsi="Calibri"/>
                <w:b/>
                <w:color w:val="0D2B55"/>
                <w:sz w:val="19"/>
              </w:rPr>
              <w:t>Model access</w:t>
            </w:r>
          </w:p>
        </w:tc>
        <w:tc>
          <w:tcPr>
            <w:tcW w:type="dxa" w:w="7660"/>
            <w:tcMar>
              <w:top w:w="80" w:type="dxa"/>
              <w:bottom w:w="80" w:type="dxa"/>
              <w:start w:w="120" w:type="dxa"/>
              <w:end w:w="120" w:type="dxa"/>
            </w:tcMar>
            <w:vAlign w:val="center"/>
          </w:tcPr>
          <w:p>
            <w:r>
              <w:rPr>
                <w:rFonts w:ascii="Calibri" w:hAnsi="Calibri"/>
                <w:color w:val="102033"/>
                <w:sz w:val="21"/>
              </w:rPr>
              <w:t>Auto-detects Gemini, OpenAI / ChatGPT, Anthropic / Claude, or OpenRouter API keys</w:t>
            </w:r>
          </w:p>
        </w:tc>
      </w:tr>
    </w:tbl>
    <w:p>
      <w:pPr>
        <w:spacing w:before="0" w:after="120" w:line="264" w:lineRule="auto"/>
      </w:pPr>
    </w:p>
    <w:tbl>
      <w:tblPr>
        <w:tblW w:type="dxa" w:w="9360"/>
        <w:tblLook w:firstColumn="1" w:firstRow="1" w:lastColumn="0" w:lastRow="0" w:noHBand="0" w:noVBand="1" w:val="04A0"/>
        <w:tblInd w:w="120" w:type="dxa"/>
        <w:tblLayout w:type="fixed"/>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9360"/>
      </w:tblGrid>
      <w:tr>
        <w:tc>
          <w:tcPr>
            <w:tcW w:type="dxa" w:w="9360"/>
            <w:tcMar>
              <w:top w:w="80" w:type="dxa"/>
              <w:bottom w:w="80" w:type="dxa"/>
              <w:start w:w="120" w:type="dxa"/>
              <w:end w:w="120" w:type="dxa"/>
            </w:tcMar>
            <w:vAlign w:val="center"/>
            <w:shd w:fill="F4FBFA"/>
          </w:tcPr>
          <w:p>
            <w:pPr>
              <w:spacing w:after="60"/>
            </w:pPr>
            <w:r>
              <w:rPr>
                <w:rFonts w:ascii="Calibri" w:hAnsi="Calibri"/>
                <w:b/>
                <w:color w:val="0B7A75"/>
                <w:sz w:val="18"/>
              </w:rPr>
              <w:t>EXECUTIVE SUMMARY</w:t>
            </w:r>
          </w:p>
          <w:p>
            <w:pPr>
              <w:spacing w:after="0" w:line="264" w:lineRule="auto"/>
            </w:pPr>
            <w:r>
              <w:rPr>
                <w:rFonts w:ascii="Calibri" w:hAnsi="Calibri"/>
                <w:color w:val="102033"/>
                <w:sz w:val="21"/>
              </w:rPr>
              <w:t>BrahmsAI is now a local-first clinical stewardship cockpit that validates a user-supplied model key, auto-detects the provider, and runs the existing PCT-guided multi-agent pipeline without storing secrets in the repository or browser persistence.</w:t>
            </w:r>
          </w:p>
        </w:tc>
      </w:tr>
    </w:tbl>
    <w:p>
      <w:pPr>
        <w:spacing w:before="0" w:after="80" w:line="264" w:lineRule="auto"/>
      </w:pPr>
    </w:p>
    <w:p>
      <w:pPr>
        <w:pStyle w:val="Heading1"/>
        <w:spacing w:before="320" w:after="160" w:line="264" w:lineRule="auto"/>
      </w:pPr>
      <w:r>
        <w:rPr>
          <w:rFonts w:ascii="Calibri" w:hAnsi="Calibri"/>
          <w:b/>
          <w:color w:val="2E7DD4"/>
          <w:sz w:val="32"/>
        </w:rPr>
        <w:t>Feature Inventory</w:t>
      </w:r>
    </w:p>
    <w:p>
      <w:pPr>
        <w:spacing w:before="0" w:after="120" w:line="264" w:lineRule="auto"/>
      </w:pPr>
      <w:r>
        <w:rPr>
          <w:rFonts w:ascii="Calibri" w:hAnsi="Calibri"/>
          <w:b w:val="0"/>
          <w:i w:val="0"/>
          <w:color w:val="102033"/>
          <w:sz w:val="22"/>
        </w:rPr>
        <w:t>The table below separates the newly added capabilities from the broader clinical decision-support surface already present in the application.</w:t>
      </w:r>
    </w:p>
    <w:tbl>
      <w:tblPr>
        <w:tblW w:type="dxa" w:w="9360"/>
        <w:tblLook w:firstColumn="1" w:firstRow="1" w:lastColumn="0" w:lastRow="0" w:noHBand="0" w:noVBand="1" w:val="04A0"/>
        <w:tblInd w:w="120" w:type="dxa"/>
        <w:tblLayout w:type="fixed"/>
        <w:tblBorders>
          <w:top w:val="single" w:sz="4" w:space="0" w:color="D6E2EC"/>
          <w:left w:val="single" w:sz="4" w:space="0" w:color="D6E2EC"/>
          <w:bottom w:val="single" w:sz="4" w:space="0" w:color="D6E2EC"/>
          <w:right w:val="single" w:sz="4" w:space="0" w:color="D6E2EC"/>
          <w:insideH w:val="single" w:sz="4" w:space="0" w:color="D6E2EC"/>
          <w:insideV w:val="single" w:sz="4" w:space="0" w:color="D6E2EC"/>
        </w:tblBorders>
      </w:tblPr>
      <w:tblGrid>
        <w:gridCol w:w="1250"/>
        <w:gridCol w:w="2600"/>
        <w:gridCol w:w="5510"/>
      </w:tblGrid>
      <w:tr>
        <w:tc>
          <w:tcPr>
            <w:tcW w:type="dxa" w:w="1250"/>
            <w:tcMar>
              <w:top w:w="80" w:type="dxa"/>
              <w:bottom w:w="80" w:type="dxa"/>
              <w:start w:w="120" w:type="dxa"/>
              <w:end w:w="120" w:type="dxa"/>
            </w:tcMar>
            <w:vAlign w:val="center"/>
            <w:shd w:fill="0D2B55"/>
          </w:tcPr>
          <w:p>
            <w:r>
              <w:rPr>
                <w:rFonts w:ascii="Calibri" w:hAnsi="Calibri"/>
                <w:b/>
                <w:color w:val="FFFFFF"/>
                <w:sz w:val="19"/>
              </w:rPr>
              <w:t>Area</w:t>
            </w:r>
          </w:p>
        </w:tc>
        <w:tc>
          <w:tcPr>
            <w:tcW w:type="dxa" w:w="2600"/>
            <w:tcMar>
              <w:top w:w="80" w:type="dxa"/>
              <w:bottom w:w="80" w:type="dxa"/>
              <w:start w:w="120" w:type="dxa"/>
              <w:end w:w="120" w:type="dxa"/>
            </w:tcMar>
            <w:vAlign w:val="center"/>
            <w:shd w:fill="0D2B55"/>
          </w:tcPr>
          <w:p>
            <w:r>
              <w:rPr>
                <w:rFonts w:ascii="Calibri" w:hAnsi="Calibri"/>
                <w:b/>
                <w:color w:val="FFFFFF"/>
                <w:sz w:val="19"/>
              </w:rPr>
              <w:t>Feature</w:t>
            </w:r>
          </w:p>
        </w:tc>
        <w:tc>
          <w:tcPr>
            <w:tcW w:type="dxa" w:w="5510"/>
            <w:tcMar>
              <w:top w:w="80" w:type="dxa"/>
              <w:bottom w:w="80" w:type="dxa"/>
              <w:start w:w="120" w:type="dxa"/>
              <w:end w:w="120" w:type="dxa"/>
            </w:tcMar>
            <w:vAlign w:val="center"/>
            <w:shd w:fill="0D2B55"/>
          </w:tcPr>
          <w:p>
            <w:r>
              <w:rPr>
                <w:rFonts w:ascii="Calibri" w:hAnsi="Calibri"/>
                <w:b/>
                <w:color w:val="FFFFFF"/>
                <w:sz w:val="19"/>
              </w:rPr>
              <w:t>Design intent</w:t>
            </w:r>
          </w:p>
        </w:tc>
      </w:tr>
      <w:tr>
        <w:tc>
          <w:tcPr>
            <w:tcW w:type="dxa" w:w="1250"/>
            <w:tcMar>
              <w:top w:w="80" w:type="dxa"/>
              <w:bottom w:w="80" w:type="dxa"/>
              <w:start w:w="120" w:type="dxa"/>
              <w:end w:w="120" w:type="dxa"/>
            </w:tcMar>
            <w:vAlign w:val="center"/>
            <w:shd w:fill="CCF0EE"/>
          </w:tcPr>
          <w:p>
            <w:r>
              <w:rPr>
                <w:rFonts w:ascii="Calibri" w:hAnsi="Calibri"/>
                <w:b/>
                <w:color w:val="102033"/>
                <w:sz w:val="19"/>
              </w:rPr>
              <w:t>New</w:t>
            </w:r>
          </w:p>
        </w:tc>
        <w:tc>
          <w:tcPr>
            <w:tcW w:type="dxa" w:w="2600"/>
            <w:tcMar>
              <w:top w:w="80" w:type="dxa"/>
              <w:bottom w:w="80" w:type="dxa"/>
              <w:start w:w="120" w:type="dxa"/>
              <w:end w:w="120" w:type="dxa"/>
            </w:tcMar>
            <w:vAlign w:val="center"/>
          </w:tcPr>
          <w:p>
            <w:r>
              <w:rPr>
                <w:rFonts w:ascii="Calibri" w:hAnsi="Calibri"/>
                <w:b w:val="0"/>
                <w:color w:val="102033"/>
                <w:sz w:val="19"/>
              </w:rPr>
              <w:t>Model API key gate</w:t>
            </w:r>
          </w:p>
        </w:tc>
        <w:tc>
          <w:tcPr>
            <w:tcW w:type="dxa" w:w="5510"/>
            <w:tcMar>
              <w:top w:w="80" w:type="dxa"/>
              <w:bottom w:w="80" w:type="dxa"/>
              <w:start w:w="120" w:type="dxa"/>
              <w:end w:w="120" w:type="dxa"/>
            </w:tcMar>
            <w:vAlign w:val="center"/>
          </w:tcPr>
          <w:p>
            <w:r>
              <w:rPr>
                <w:rFonts w:ascii="Calibri" w:hAnsi="Calibri"/>
                <w:b w:val="0"/>
                <w:color w:val="102033"/>
                <w:sz w:val="18"/>
              </w:rPr>
              <w:t>Blurred launch screen blocks use until the key is validated by the local backend.</w:t>
            </w:r>
          </w:p>
        </w:tc>
      </w:tr>
      <w:tr>
        <w:tc>
          <w:tcPr>
            <w:tcW w:type="dxa" w:w="1250"/>
            <w:tcMar>
              <w:top w:w="80" w:type="dxa"/>
              <w:bottom w:w="80" w:type="dxa"/>
              <w:start w:w="120" w:type="dxa"/>
              <w:end w:w="120" w:type="dxa"/>
            </w:tcMar>
            <w:vAlign w:val="center"/>
            <w:shd w:fill="CCF0EE"/>
          </w:tcPr>
          <w:p>
            <w:r>
              <w:rPr>
                <w:rFonts w:ascii="Calibri" w:hAnsi="Calibri"/>
                <w:b/>
                <w:color w:val="102033"/>
                <w:sz w:val="19"/>
              </w:rPr>
              <w:t>New</w:t>
            </w:r>
          </w:p>
        </w:tc>
        <w:tc>
          <w:tcPr>
            <w:tcW w:type="dxa" w:w="2600"/>
            <w:tcMar>
              <w:top w:w="80" w:type="dxa"/>
              <w:bottom w:w="80" w:type="dxa"/>
              <w:start w:w="120" w:type="dxa"/>
              <w:end w:w="120" w:type="dxa"/>
            </w:tcMar>
            <w:vAlign w:val="center"/>
          </w:tcPr>
          <w:p>
            <w:r>
              <w:rPr>
                <w:rFonts w:ascii="Calibri" w:hAnsi="Calibri"/>
                <w:b w:val="0"/>
                <w:color w:val="102033"/>
                <w:sz w:val="19"/>
              </w:rPr>
              <w:t>Provider auto-detection</w:t>
            </w:r>
          </w:p>
        </w:tc>
        <w:tc>
          <w:tcPr>
            <w:tcW w:type="dxa" w:w="5510"/>
            <w:tcMar>
              <w:top w:w="80" w:type="dxa"/>
              <w:bottom w:w="80" w:type="dxa"/>
              <w:start w:w="120" w:type="dxa"/>
              <w:end w:w="120" w:type="dxa"/>
            </w:tcMar>
            <w:vAlign w:val="center"/>
          </w:tcPr>
          <w:p>
            <w:r>
              <w:rPr>
                <w:rFonts w:ascii="Calibri" w:hAnsi="Calibri"/>
                <w:b w:val="0"/>
                <w:color w:val="102033"/>
                <w:sz w:val="18"/>
              </w:rPr>
              <w:t>Recognizes Gemini, OpenAI / ChatGPT, Anthropic / Claude, and OpenRouter key formats and selects a default model.</w:t>
            </w:r>
          </w:p>
        </w:tc>
      </w:tr>
      <w:tr>
        <w:tc>
          <w:tcPr>
            <w:tcW w:type="dxa" w:w="1250"/>
            <w:tcMar>
              <w:top w:w="80" w:type="dxa"/>
              <w:bottom w:w="80" w:type="dxa"/>
              <w:start w:w="120" w:type="dxa"/>
              <w:end w:w="120" w:type="dxa"/>
            </w:tcMar>
            <w:vAlign w:val="center"/>
            <w:shd w:fill="CCF0EE"/>
          </w:tcPr>
          <w:p>
            <w:r>
              <w:rPr>
                <w:rFonts w:ascii="Calibri" w:hAnsi="Calibri"/>
                <w:b/>
                <w:color w:val="102033"/>
                <w:sz w:val="19"/>
              </w:rPr>
              <w:t>New</w:t>
            </w:r>
          </w:p>
        </w:tc>
        <w:tc>
          <w:tcPr>
            <w:tcW w:type="dxa" w:w="2600"/>
            <w:tcMar>
              <w:top w:w="80" w:type="dxa"/>
              <w:bottom w:w="80" w:type="dxa"/>
              <w:start w:w="120" w:type="dxa"/>
              <w:end w:w="120" w:type="dxa"/>
            </w:tcMar>
            <w:vAlign w:val="center"/>
          </w:tcPr>
          <w:p>
            <w:r>
              <w:rPr>
                <w:rFonts w:ascii="Calibri" w:hAnsi="Calibri"/>
                <w:b w:val="0"/>
                <w:color w:val="102033"/>
                <w:sz w:val="19"/>
              </w:rPr>
              <w:t>Provider-specific execution</w:t>
            </w:r>
          </w:p>
        </w:tc>
        <w:tc>
          <w:tcPr>
            <w:tcW w:type="dxa" w:w="5510"/>
            <w:tcMar>
              <w:top w:w="80" w:type="dxa"/>
              <w:bottom w:w="80" w:type="dxa"/>
              <w:start w:w="120" w:type="dxa"/>
              <w:end w:w="120" w:type="dxa"/>
            </w:tcMar>
            <w:vAlign w:val="center"/>
          </w:tcPr>
          <w:p>
            <w:r>
              <w:rPr>
                <w:rFonts w:ascii="Calibri" w:hAnsi="Calibri"/>
                <w:b w:val="0"/>
                <w:color w:val="102033"/>
                <w:sz w:val="18"/>
              </w:rPr>
              <w:t>Runs the four-agent stewardship pipeline against the provider associated with the entered key.</w:t>
            </w:r>
          </w:p>
        </w:tc>
      </w:tr>
      <w:tr>
        <w:tc>
          <w:tcPr>
            <w:tcW w:type="dxa" w:w="1250"/>
            <w:tcMar>
              <w:top w:w="80" w:type="dxa"/>
              <w:bottom w:w="80" w:type="dxa"/>
              <w:start w:w="120" w:type="dxa"/>
              <w:end w:w="120" w:type="dxa"/>
            </w:tcMar>
            <w:vAlign w:val="center"/>
            <w:shd w:fill="CCF0EE"/>
          </w:tcPr>
          <w:p>
            <w:r>
              <w:rPr>
                <w:rFonts w:ascii="Calibri" w:hAnsi="Calibri"/>
                <w:b/>
                <w:color w:val="102033"/>
                <w:sz w:val="19"/>
              </w:rPr>
              <w:t>New</w:t>
            </w:r>
          </w:p>
        </w:tc>
        <w:tc>
          <w:tcPr>
            <w:tcW w:type="dxa" w:w="2600"/>
            <w:tcMar>
              <w:top w:w="80" w:type="dxa"/>
              <w:bottom w:w="80" w:type="dxa"/>
              <w:start w:w="120" w:type="dxa"/>
              <w:end w:w="120" w:type="dxa"/>
            </w:tcMar>
            <w:vAlign w:val="center"/>
          </w:tcPr>
          <w:p>
            <w:r>
              <w:rPr>
                <w:rFonts w:ascii="Calibri" w:hAnsi="Calibri"/>
                <w:b w:val="0"/>
                <w:color w:val="102033"/>
                <w:sz w:val="19"/>
              </w:rPr>
              <w:t>Session-only key handling</w:t>
            </w:r>
          </w:p>
        </w:tc>
        <w:tc>
          <w:tcPr>
            <w:tcW w:type="dxa" w:w="5510"/>
            <w:tcMar>
              <w:top w:w="80" w:type="dxa"/>
              <w:bottom w:w="80" w:type="dxa"/>
              <w:start w:w="120" w:type="dxa"/>
              <w:end w:w="120" w:type="dxa"/>
            </w:tcMar>
            <w:vAlign w:val="center"/>
          </w:tcPr>
          <w:p>
            <w:r>
              <w:rPr>
                <w:rFonts w:ascii="Calibri" w:hAnsi="Calibri"/>
                <w:b w:val="0"/>
                <w:color w:val="102033"/>
                <w:sz w:val="18"/>
              </w:rPr>
              <w:t>Keeps the key in browser memory only; no localStorage and no hardcoded secrets.</w:t>
            </w:r>
          </w:p>
        </w:tc>
      </w:tr>
      <w:tr>
        <w:tc>
          <w:tcPr>
            <w:tcW w:type="dxa" w:w="1250"/>
            <w:tcMar>
              <w:top w:w="80" w:type="dxa"/>
              <w:bottom w:w="80" w:type="dxa"/>
              <w:start w:w="120" w:type="dxa"/>
              <w:end w:w="120" w:type="dxa"/>
            </w:tcMar>
            <w:vAlign w:val="center"/>
            <w:shd w:fill="CCF0EE"/>
          </w:tcPr>
          <w:p>
            <w:r>
              <w:rPr>
                <w:rFonts w:ascii="Calibri" w:hAnsi="Calibri"/>
                <w:b/>
                <w:color w:val="102033"/>
                <w:sz w:val="19"/>
              </w:rPr>
              <w:t>New</w:t>
            </w:r>
          </w:p>
        </w:tc>
        <w:tc>
          <w:tcPr>
            <w:tcW w:type="dxa" w:w="2600"/>
            <w:tcMar>
              <w:top w:w="80" w:type="dxa"/>
              <w:bottom w:w="80" w:type="dxa"/>
              <w:start w:w="120" w:type="dxa"/>
              <w:end w:w="120" w:type="dxa"/>
            </w:tcMar>
            <w:vAlign w:val="center"/>
          </w:tcPr>
          <w:p>
            <w:r>
              <w:rPr>
                <w:rFonts w:ascii="Calibri" w:hAnsi="Calibri"/>
                <w:b w:val="0"/>
                <w:color w:val="102033"/>
                <w:sz w:val="19"/>
              </w:rPr>
              <w:t>Provider-aware status</w:t>
            </w:r>
          </w:p>
        </w:tc>
        <w:tc>
          <w:tcPr>
            <w:tcW w:type="dxa" w:w="5510"/>
            <w:tcMar>
              <w:top w:w="80" w:type="dxa"/>
              <w:bottom w:w="80" w:type="dxa"/>
              <w:start w:w="120" w:type="dxa"/>
              <w:end w:w="120" w:type="dxa"/>
            </w:tcMar>
            <w:vAlign w:val="center"/>
          </w:tcPr>
          <w:p>
            <w:r>
              <w:rPr>
                <w:rFonts w:ascii="Calibri" w:hAnsi="Calibri"/>
                <w:b w:val="0"/>
                <w:color w:val="102033"/>
                <w:sz w:val="18"/>
              </w:rPr>
              <w:t>Displays the detected provider and model in the UI after validation.</w:t>
            </w:r>
          </w:p>
        </w:tc>
      </w:tr>
      <w:tr>
        <w:tc>
          <w:tcPr>
            <w:tcW w:type="dxa" w:w="1250"/>
            <w:tcMar>
              <w:top w:w="80" w:type="dxa"/>
              <w:bottom w:w="80" w:type="dxa"/>
              <w:start w:w="120" w:type="dxa"/>
              <w:end w:w="120" w:type="dxa"/>
            </w:tcMar>
            <w:vAlign w:val="center"/>
            <w:shd w:fill="D6E8F7"/>
          </w:tcPr>
          <w:p>
            <w:r>
              <w:rPr>
                <w:rFonts w:ascii="Calibri" w:hAnsi="Calibri"/>
                <w:b/>
                <w:color w:val="102033"/>
                <w:sz w:val="19"/>
              </w:rPr>
              <w:t>Core</w:t>
            </w:r>
          </w:p>
        </w:tc>
        <w:tc>
          <w:tcPr>
            <w:tcW w:type="dxa" w:w="2600"/>
            <w:tcMar>
              <w:top w:w="80" w:type="dxa"/>
              <w:bottom w:w="80" w:type="dxa"/>
              <w:start w:w="120" w:type="dxa"/>
              <w:end w:w="120" w:type="dxa"/>
            </w:tcMar>
            <w:vAlign w:val="center"/>
          </w:tcPr>
          <w:p>
            <w:r>
              <w:rPr>
                <w:rFonts w:ascii="Calibri" w:hAnsi="Calibri"/>
                <w:b w:val="0"/>
                <w:color w:val="102033"/>
                <w:sz w:val="19"/>
              </w:rPr>
              <w:t>PCT threshold cockpit</w:t>
            </w:r>
          </w:p>
        </w:tc>
        <w:tc>
          <w:tcPr>
            <w:tcW w:type="dxa" w:w="5510"/>
            <w:tcMar>
              <w:top w:w="80" w:type="dxa"/>
              <w:bottom w:w="80" w:type="dxa"/>
              <w:start w:w="120" w:type="dxa"/>
              <w:end w:w="120" w:type="dxa"/>
            </w:tcMar>
            <w:vAlign w:val="center"/>
          </w:tcPr>
          <w:p>
            <w:r>
              <w:rPr>
                <w:rFonts w:ascii="Calibri" w:hAnsi="Calibri"/>
                <w:b w:val="0"/>
                <w:color w:val="102033"/>
                <w:sz w:val="18"/>
              </w:rPr>
              <w:t>Prominent PCT entry with live LRTI threshold band highlighting and clinical setting context.</w:t>
            </w:r>
          </w:p>
        </w:tc>
      </w:tr>
      <w:tr>
        <w:tc>
          <w:tcPr>
            <w:tcW w:type="dxa" w:w="1250"/>
            <w:tcMar>
              <w:top w:w="80" w:type="dxa"/>
              <w:bottom w:w="80" w:type="dxa"/>
              <w:start w:w="120" w:type="dxa"/>
              <w:end w:w="120" w:type="dxa"/>
            </w:tcMar>
            <w:vAlign w:val="center"/>
            <w:shd w:fill="D6E8F7"/>
          </w:tcPr>
          <w:p>
            <w:r>
              <w:rPr>
                <w:rFonts w:ascii="Calibri" w:hAnsi="Calibri"/>
                <w:b/>
                <w:color w:val="102033"/>
                <w:sz w:val="19"/>
              </w:rPr>
              <w:t>Core</w:t>
            </w:r>
          </w:p>
        </w:tc>
        <w:tc>
          <w:tcPr>
            <w:tcW w:type="dxa" w:w="2600"/>
            <w:tcMar>
              <w:top w:w="80" w:type="dxa"/>
              <w:bottom w:w="80" w:type="dxa"/>
              <w:start w:w="120" w:type="dxa"/>
              <w:end w:w="120" w:type="dxa"/>
            </w:tcMar>
            <w:vAlign w:val="center"/>
          </w:tcPr>
          <w:p>
            <w:r>
              <w:rPr>
                <w:rFonts w:ascii="Calibri" w:hAnsi="Calibri"/>
                <w:b w:val="0"/>
                <w:color w:val="102033"/>
                <w:sz w:val="19"/>
              </w:rPr>
              <w:t>Kinetic tracking</w:t>
            </w:r>
          </w:p>
        </w:tc>
        <w:tc>
          <w:tcPr>
            <w:tcW w:type="dxa" w:w="5510"/>
            <w:tcMar>
              <w:top w:w="80" w:type="dxa"/>
              <w:bottom w:w="80" w:type="dxa"/>
              <w:start w:w="120" w:type="dxa"/>
              <w:end w:w="120" w:type="dxa"/>
            </w:tcMar>
            <w:vAlign w:val="center"/>
          </w:tcPr>
          <w:p>
            <w:r>
              <w:rPr>
                <w:rFonts w:ascii="Calibri" w:hAnsi="Calibri"/>
                <w:b w:val="0"/>
                <w:color w:val="102033"/>
                <w:sz w:val="18"/>
              </w:rPr>
              <w:t>Serial PCT timeline, live percent-decline calculation, and Day 4 treatment-failure warning.</w:t>
            </w:r>
          </w:p>
        </w:tc>
      </w:tr>
      <w:tr>
        <w:tc>
          <w:tcPr>
            <w:tcW w:type="dxa" w:w="1250"/>
            <w:tcMar>
              <w:top w:w="80" w:type="dxa"/>
              <w:bottom w:w="80" w:type="dxa"/>
              <w:start w:w="120" w:type="dxa"/>
              <w:end w:w="120" w:type="dxa"/>
            </w:tcMar>
            <w:vAlign w:val="center"/>
            <w:shd w:fill="D6E8F7"/>
          </w:tcPr>
          <w:p>
            <w:r>
              <w:rPr>
                <w:rFonts w:ascii="Calibri" w:hAnsi="Calibri"/>
                <w:b/>
                <w:color w:val="102033"/>
                <w:sz w:val="19"/>
              </w:rPr>
              <w:t>Core</w:t>
            </w:r>
          </w:p>
        </w:tc>
        <w:tc>
          <w:tcPr>
            <w:tcW w:type="dxa" w:w="2600"/>
            <w:tcMar>
              <w:top w:w="80" w:type="dxa"/>
              <w:bottom w:w="80" w:type="dxa"/>
              <w:start w:w="120" w:type="dxa"/>
              <w:end w:w="120" w:type="dxa"/>
            </w:tcMar>
            <w:vAlign w:val="center"/>
          </w:tcPr>
          <w:p>
            <w:r>
              <w:rPr>
                <w:rFonts w:ascii="Calibri" w:hAnsi="Calibri"/>
                <w:b w:val="0"/>
                <w:color w:val="102033"/>
                <w:sz w:val="19"/>
              </w:rPr>
              <w:t>Four-agent pipeline</w:t>
            </w:r>
          </w:p>
        </w:tc>
        <w:tc>
          <w:tcPr>
            <w:tcW w:type="dxa" w:w="5510"/>
            <w:tcMar>
              <w:top w:w="80" w:type="dxa"/>
              <w:bottom w:w="80" w:type="dxa"/>
              <w:start w:w="120" w:type="dxa"/>
              <w:end w:w="120" w:type="dxa"/>
            </w:tcMar>
            <w:vAlign w:val="center"/>
          </w:tcPr>
          <w:p>
            <w:r>
              <w:rPr>
                <w:rFonts w:ascii="Calibri" w:hAnsi="Calibri"/>
                <w:b w:val="0"/>
                <w:color w:val="102033"/>
                <w:sz w:val="18"/>
              </w:rPr>
              <w:t>A1 intake, A2 clinical reasoning, A3 kinetic/context review, and A4 final report generation.</w:t>
            </w:r>
          </w:p>
        </w:tc>
      </w:tr>
      <w:tr>
        <w:tc>
          <w:tcPr>
            <w:tcW w:type="dxa" w:w="1250"/>
            <w:tcMar>
              <w:top w:w="80" w:type="dxa"/>
              <w:bottom w:w="80" w:type="dxa"/>
              <w:start w:w="120" w:type="dxa"/>
              <w:end w:w="120" w:type="dxa"/>
            </w:tcMar>
            <w:vAlign w:val="center"/>
            <w:shd w:fill="D6E8F7"/>
          </w:tcPr>
          <w:p>
            <w:r>
              <w:rPr>
                <w:rFonts w:ascii="Calibri" w:hAnsi="Calibri"/>
                <w:b/>
                <w:color w:val="102033"/>
                <w:sz w:val="19"/>
              </w:rPr>
              <w:t>Core</w:t>
            </w:r>
          </w:p>
        </w:tc>
        <w:tc>
          <w:tcPr>
            <w:tcW w:type="dxa" w:w="2600"/>
            <w:tcMar>
              <w:top w:w="80" w:type="dxa"/>
              <w:bottom w:w="80" w:type="dxa"/>
              <w:start w:w="120" w:type="dxa"/>
              <w:end w:w="120" w:type="dxa"/>
            </w:tcMar>
            <w:vAlign w:val="center"/>
          </w:tcPr>
          <w:p>
            <w:r>
              <w:rPr>
                <w:rFonts w:ascii="Calibri" w:hAnsi="Calibri"/>
                <w:b w:val="0"/>
                <w:color w:val="102033"/>
                <w:sz w:val="19"/>
              </w:rPr>
              <w:t>Structured report output</w:t>
            </w:r>
          </w:p>
        </w:tc>
        <w:tc>
          <w:tcPr>
            <w:tcW w:type="dxa" w:w="5510"/>
            <w:tcMar>
              <w:top w:w="80" w:type="dxa"/>
              <w:bottom w:w="80" w:type="dxa"/>
              <w:start w:w="120" w:type="dxa"/>
              <w:end w:w="120" w:type="dxa"/>
            </w:tcMar>
            <w:vAlign w:val="center"/>
          </w:tcPr>
          <w:p>
            <w:r>
              <w:rPr>
                <w:rFonts w:ascii="Calibri" w:hAnsi="Calibri"/>
                <w:b w:val="0"/>
                <w:color w:val="102033"/>
                <w:sz w:val="18"/>
              </w:rPr>
              <w:t>Returns recommendation, rationale, next steps, warnings, override flags, metadata, and agent reasoning.</w:t>
            </w:r>
          </w:p>
        </w:tc>
      </w:tr>
      <w:tr>
        <w:tc>
          <w:tcPr>
            <w:tcW w:type="dxa" w:w="1250"/>
            <w:tcMar>
              <w:top w:w="80" w:type="dxa"/>
              <w:bottom w:w="80" w:type="dxa"/>
              <w:start w:w="120" w:type="dxa"/>
              <w:end w:w="120" w:type="dxa"/>
            </w:tcMar>
            <w:vAlign w:val="center"/>
            <w:shd w:fill="FFF3D6"/>
          </w:tcPr>
          <w:p>
            <w:r>
              <w:rPr>
                <w:rFonts w:ascii="Calibri" w:hAnsi="Calibri"/>
                <w:b/>
                <w:color w:val="102033"/>
                <w:sz w:val="19"/>
              </w:rPr>
              <w:t>Safety</w:t>
            </w:r>
          </w:p>
        </w:tc>
        <w:tc>
          <w:tcPr>
            <w:tcW w:type="dxa" w:w="2600"/>
            <w:tcMar>
              <w:top w:w="80" w:type="dxa"/>
              <w:bottom w:w="80" w:type="dxa"/>
              <w:start w:w="120" w:type="dxa"/>
              <w:end w:w="120" w:type="dxa"/>
            </w:tcMar>
            <w:vAlign w:val="center"/>
          </w:tcPr>
          <w:p>
            <w:r>
              <w:rPr>
                <w:rFonts w:ascii="Calibri" w:hAnsi="Calibri"/>
                <w:b w:val="0"/>
                <w:color w:val="102033"/>
                <w:sz w:val="19"/>
              </w:rPr>
              <w:t>Prompt-injection checks</w:t>
            </w:r>
          </w:p>
        </w:tc>
        <w:tc>
          <w:tcPr>
            <w:tcW w:type="dxa" w:w="5510"/>
            <w:tcMar>
              <w:top w:w="80" w:type="dxa"/>
              <w:bottom w:w="80" w:type="dxa"/>
              <w:start w:w="120" w:type="dxa"/>
              <w:end w:w="120" w:type="dxa"/>
            </w:tcMar>
            <w:vAlign w:val="center"/>
          </w:tcPr>
          <w:p>
            <w:r>
              <w:rPr>
                <w:rFonts w:ascii="Calibri" w:hAnsi="Calibri"/>
                <w:b w:val="0"/>
                <w:color w:val="102033"/>
                <w:sz w:val="18"/>
              </w:rPr>
              <w:t>Rejects suspicious clinical notes and prepends security instructions to each system prompt.</w:t>
            </w:r>
          </w:p>
        </w:tc>
      </w:tr>
      <w:tr>
        <w:tc>
          <w:tcPr>
            <w:tcW w:type="dxa" w:w="1250"/>
            <w:tcMar>
              <w:top w:w="80" w:type="dxa"/>
              <w:bottom w:w="80" w:type="dxa"/>
              <w:start w:w="120" w:type="dxa"/>
              <w:end w:w="120" w:type="dxa"/>
            </w:tcMar>
            <w:vAlign w:val="center"/>
            <w:shd w:fill="FFF3D6"/>
          </w:tcPr>
          <w:p>
            <w:r>
              <w:rPr>
                <w:rFonts w:ascii="Calibri" w:hAnsi="Calibri"/>
                <w:b/>
                <w:color w:val="102033"/>
                <w:sz w:val="19"/>
              </w:rPr>
              <w:t>Safety</w:t>
            </w:r>
          </w:p>
        </w:tc>
        <w:tc>
          <w:tcPr>
            <w:tcW w:type="dxa" w:w="2600"/>
            <w:tcMar>
              <w:top w:w="80" w:type="dxa"/>
              <w:bottom w:w="80" w:type="dxa"/>
              <w:start w:w="120" w:type="dxa"/>
              <w:end w:w="120" w:type="dxa"/>
            </w:tcMar>
            <w:vAlign w:val="center"/>
          </w:tcPr>
          <w:p>
            <w:r>
              <w:rPr>
                <w:rFonts w:ascii="Calibri" w:hAnsi="Calibri"/>
                <w:b w:val="0"/>
                <w:color w:val="102033"/>
                <w:sz w:val="19"/>
              </w:rPr>
              <w:t>Timeout and JSON validation</w:t>
            </w:r>
          </w:p>
        </w:tc>
        <w:tc>
          <w:tcPr>
            <w:tcW w:type="dxa" w:w="5510"/>
            <w:tcMar>
              <w:top w:w="80" w:type="dxa"/>
              <w:bottom w:w="80" w:type="dxa"/>
              <w:start w:w="120" w:type="dxa"/>
              <w:end w:w="120" w:type="dxa"/>
            </w:tcMar>
            <w:vAlign w:val="center"/>
          </w:tcPr>
          <w:p>
            <w:r>
              <w:rPr>
                <w:rFonts w:ascii="Calibri" w:hAnsi="Calibri"/>
                <w:b w:val="0"/>
                <w:color w:val="102033"/>
                <w:sz w:val="18"/>
              </w:rPr>
              <w:t>Each agent has timeout protection, retry-on-invalid-JSON, and final recommendation validation.</w:t>
            </w:r>
          </w:p>
        </w:tc>
      </w:tr>
      <w:tr>
        <w:tc>
          <w:tcPr>
            <w:tcW w:type="dxa" w:w="1250"/>
            <w:tcMar>
              <w:top w:w="80" w:type="dxa"/>
              <w:bottom w:w="80" w:type="dxa"/>
              <w:start w:w="120" w:type="dxa"/>
              <w:end w:w="120" w:type="dxa"/>
            </w:tcMar>
            <w:vAlign w:val="center"/>
            <w:shd w:fill="F4F8FB"/>
          </w:tcPr>
          <w:p>
            <w:r>
              <w:rPr>
                <w:rFonts w:ascii="Calibri" w:hAnsi="Calibri"/>
                <w:b/>
                <w:color w:val="102033"/>
                <w:sz w:val="19"/>
              </w:rPr>
              <w:t>Ops</w:t>
            </w:r>
          </w:p>
        </w:tc>
        <w:tc>
          <w:tcPr>
            <w:tcW w:type="dxa" w:w="2600"/>
            <w:tcMar>
              <w:top w:w="80" w:type="dxa"/>
              <w:bottom w:w="80" w:type="dxa"/>
              <w:start w:w="120" w:type="dxa"/>
              <w:end w:w="120" w:type="dxa"/>
            </w:tcMar>
            <w:vAlign w:val="center"/>
          </w:tcPr>
          <w:p>
            <w:r>
              <w:rPr>
                <w:rFonts w:ascii="Calibri" w:hAnsi="Calibri"/>
                <w:b w:val="0"/>
                <w:color w:val="102033"/>
                <w:sz w:val="19"/>
              </w:rPr>
              <w:t>Structured logging and token estimates</w:t>
            </w:r>
          </w:p>
        </w:tc>
        <w:tc>
          <w:tcPr>
            <w:tcW w:type="dxa" w:w="5510"/>
            <w:tcMar>
              <w:top w:w="80" w:type="dxa"/>
              <w:bottom w:w="80" w:type="dxa"/>
              <w:start w:w="120" w:type="dxa"/>
              <w:end w:w="120" w:type="dxa"/>
            </w:tcMar>
            <w:vAlign w:val="center"/>
          </w:tcPr>
          <w:p>
            <w:r>
              <w:rPr>
                <w:rFonts w:ascii="Calibri" w:hAnsi="Calibri"/>
                <w:b w:val="0"/>
                <w:color w:val="102033"/>
                <w:sz w:val="18"/>
              </w:rPr>
              <w:t>Captures latency, estimated token use, estimated cost, and pipeline summary logs.</w:t>
            </w:r>
          </w:p>
        </w:tc>
      </w:tr>
    </w:tbl>
    <w:p>
      <w:pPr>
        <w:spacing w:before="0" w:after="80" w:line="264" w:lineRule="auto"/>
      </w:pPr>
    </w:p>
    <w:p>
      <w:pPr>
        <w:pStyle w:val="Heading1"/>
        <w:spacing w:before="320" w:after="160" w:line="264" w:lineRule="auto"/>
      </w:pPr>
      <w:r>
        <w:rPr>
          <w:rFonts w:ascii="Calibri" w:hAnsi="Calibri"/>
          <w:b/>
          <w:color w:val="2E7DD4"/>
          <w:sz w:val="32"/>
        </w:rPr>
        <w:t>System Architecture</w:t>
      </w:r>
    </w:p>
    <w:tbl>
      <w:tblPr>
        <w:tblW w:type="dxa" w:w="9360"/>
        <w:tblLook w:firstColumn="1" w:firstRow="1" w:lastColumn="0" w:lastRow="0" w:noHBand="0" w:noVBand="1" w:val="04A0"/>
        <w:tblInd w:w="120" w:type="dxa"/>
        <w:tblLayout w:type="fixed"/>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9360"/>
      </w:tblGrid>
      <w:tr>
        <w:tc>
          <w:tcPr>
            <w:tcW w:type="dxa" w:w="9360"/>
            <w:tcMar>
              <w:top w:w="80" w:type="dxa"/>
              <w:bottom w:w="80" w:type="dxa"/>
              <w:start w:w="120" w:type="dxa"/>
              <w:end w:w="120" w:type="dxa"/>
            </w:tcMar>
            <w:vAlign w:val="center"/>
            <w:shd w:fill="F4FBFA"/>
          </w:tcPr>
          <w:p>
            <w:pPr>
              <w:spacing w:after="60"/>
            </w:pPr>
            <w:r>
              <w:rPr>
                <w:rFonts w:ascii="Calibri" w:hAnsi="Calibri"/>
                <w:b/>
                <w:color w:val="0B7A75"/>
                <w:sz w:val="18"/>
              </w:rPr>
              <w:t>CURRENT PATTERN</w:t>
            </w:r>
          </w:p>
          <w:p>
            <w:pPr>
              <w:spacing w:after="0" w:line="264" w:lineRule="auto"/>
            </w:pPr>
            <w:r>
              <w:rPr>
                <w:rFonts w:ascii="Calibri" w:hAnsi="Calibri"/>
                <w:color w:val="102033"/>
                <w:sz w:val="21"/>
              </w:rPr>
              <w:t>BrahmsAI remains a local-first browser application. The browser collects structured patient data and a session-only model key, while FastAPI performs key validation, model routing, agent orchestration, and report assembly.</w:t>
            </w:r>
          </w:p>
        </w:tc>
      </w:tr>
    </w:tbl>
    <w:p>
      <w:pPr>
        <w:spacing w:before="0" w:after="80" w:line="264" w:lineRule="auto"/>
      </w:pPr>
    </w:p>
    <w:p>
      <w:pPr>
        <w:pStyle w:val="Heading2"/>
        <w:spacing w:before="240" w:after="120" w:line="264" w:lineRule="auto"/>
      </w:pPr>
      <w:r>
        <w:rPr>
          <w:rFonts w:ascii="Calibri" w:hAnsi="Calibri"/>
          <w:b/>
          <w:color w:val="2E7DD4"/>
          <w:sz w:val="26"/>
        </w:rPr>
        <w:t>Runtime Flow</w:t>
      </w:r>
    </w:p>
    <w:tbl>
      <w:tblPr>
        <w:tblW w:type="dxa" w:w="9360"/>
        <w:tblLook w:firstColumn="1" w:firstRow="1" w:lastColumn="0" w:lastRow="0" w:noHBand="0" w:noVBand="1" w:val="04A0"/>
        <w:tblInd w:w="120" w:type="dxa"/>
        <w:tblLayout w:type="fixed"/>
        <w:tblBorders>
          <w:top w:val="single" w:sz="4" w:space="0" w:color="D6E2EC"/>
          <w:left w:val="single" w:sz="4" w:space="0" w:color="D6E2EC"/>
          <w:bottom w:val="single" w:sz="4" w:space="0" w:color="D6E2EC"/>
          <w:right w:val="single" w:sz="4" w:space="0" w:color="D6E2EC"/>
          <w:insideH w:val="single" w:sz="4" w:space="0" w:color="D6E2EC"/>
          <w:insideV w:val="single" w:sz="4" w:space="0" w:color="D6E2EC"/>
        </w:tblBorders>
      </w:tblPr>
      <w:tblGrid>
        <w:gridCol w:w="650"/>
        <w:gridCol w:w="2100"/>
        <w:gridCol w:w="6610"/>
      </w:tblGrid>
      <w:tr>
        <w:tc>
          <w:tcPr>
            <w:tcW w:type="dxa" w:w="650"/>
            <w:tcMar>
              <w:top w:w="80" w:type="dxa"/>
              <w:bottom w:w="80" w:type="dxa"/>
              <w:start w:w="120" w:type="dxa"/>
              <w:end w:w="120" w:type="dxa"/>
            </w:tcMar>
            <w:vAlign w:val="center"/>
            <w:shd w:fill="D6E8F7"/>
          </w:tcPr>
          <w:p>
            <w:r>
              <w:rPr>
                <w:rFonts w:ascii="Calibri" w:hAnsi="Calibri"/>
                <w:b/>
                <w:color w:val="0D2B55"/>
                <w:sz w:val="19"/>
              </w:rPr>
              <w:t>Step</w:t>
            </w:r>
          </w:p>
        </w:tc>
        <w:tc>
          <w:tcPr>
            <w:tcW w:type="dxa" w:w="2100"/>
            <w:tcMar>
              <w:top w:w="80" w:type="dxa"/>
              <w:bottom w:w="80" w:type="dxa"/>
              <w:start w:w="120" w:type="dxa"/>
              <w:end w:w="120" w:type="dxa"/>
            </w:tcMar>
            <w:vAlign w:val="center"/>
            <w:shd w:fill="D6E8F7"/>
          </w:tcPr>
          <w:p>
            <w:r>
              <w:rPr>
                <w:rFonts w:ascii="Calibri" w:hAnsi="Calibri"/>
                <w:b/>
                <w:color w:val="0D2B55"/>
                <w:sz w:val="19"/>
              </w:rPr>
              <w:t>Stage</w:t>
            </w:r>
          </w:p>
        </w:tc>
        <w:tc>
          <w:tcPr>
            <w:tcW w:type="dxa" w:w="6610"/>
            <w:tcMar>
              <w:top w:w="80" w:type="dxa"/>
              <w:bottom w:w="80" w:type="dxa"/>
              <w:start w:w="120" w:type="dxa"/>
              <w:end w:w="120" w:type="dxa"/>
            </w:tcMar>
            <w:vAlign w:val="center"/>
            <w:shd w:fill="D6E8F7"/>
          </w:tcPr>
          <w:p>
            <w:r>
              <w:rPr>
                <w:rFonts w:ascii="Calibri" w:hAnsi="Calibri"/>
                <w:b/>
                <w:color w:val="0D2B55"/>
                <w:sz w:val="19"/>
              </w:rPr>
              <w:t>Behavior</w:t>
            </w:r>
          </w:p>
        </w:tc>
      </w:tr>
      <w:tr>
        <w:tc>
          <w:tcPr>
            <w:tcW w:type="dxa" w:w="650"/>
            <w:tcMar>
              <w:top w:w="80" w:type="dxa"/>
              <w:bottom w:w="80" w:type="dxa"/>
              <w:start w:w="120" w:type="dxa"/>
              <w:end w:w="120" w:type="dxa"/>
            </w:tcMar>
            <w:vAlign w:val="center"/>
          </w:tcPr>
          <w:p>
            <w:pPr>
              <w:jc w:val="center"/>
            </w:pPr>
            <w:r>
              <w:rPr>
                <w:rFonts w:ascii="Calibri" w:hAnsi="Calibri"/>
                <w:b/>
                <w:color w:val="102033"/>
                <w:sz w:val="18"/>
              </w:rPr>
              <w:t>1</w:t>
            </w:r>
          </w:p>
        </w:tc>
        <w:tc>
          <w:tcPr>
            <w:tcW w:type="dxa" w:w="2100"/>
            <w:tcMar>
              <w:top w:w="80" w:type="dxa"/>
              <w:bottom w:w="80" w:type="dxa"/>
              <w:start w:w="120" w:type="dxa"/>
              <w:end w:w="120" w:type="dxa"/>
            </w:tcMar>
            <w:vAlign w:val="center"/>
          </w:tcPr>
          <w:p>
            <w:r>
              <w:rPr>
                <w:rFonts w:ascii="Calibri" w:hAnsi="Calibri"/>
                <w:b/>
                <w:color w:val="102033"/>
                <w:sz w:val="18"/>
              </w:rPr>
              <w:t>Open local UI</w:t>
            </w:r>
          </w:p>
        </w:tc>
        <w:tc>
          <w:tcPr>
            <w:tcW w:type="dxa" w:w="6610"/>
            <w:tcMar>
              <w:top w:w="80" w:type="dxa"/>
              <w:bottom w:w="80" w:type="dxa"/>
              <w:start w:w="120" w:type="dxa"/>
              <w:end w:w="120" w:type="dxa"/>
            </w:tcMar>
            <w:vAlign w:val="center"/>
          </w:tcPr>
          <w:p>
            <w:r>
              <w:rPr>
                <w:rFonts w:ascii="Calibri" w:hAnsi="Calibri"/>
                <w:b w:val="0"/>
                <w:color w:val="102033"/>
                <w:sz w:val="18"/>
              </w:rPr>
              <w:t>Safari or another browser loads http://localhost:8000/ and sees a locked, blurred workspace.</w:t>
            </w:r>
          </w:p>
        </w:tc>
      </w:tr>
      <w:tr>
        <w:tc>
          <w:tcPr>
            <w:tcW w:type="dxa" w:w="650"/>
            <w:tcMar>
              <w:top w:w="80" w:type="dxa"/>
              <w:bottom w:w="80" w:type="dxa"/>
              <w:start w:w="120" w:type="dxa"/>
              <w:end w:w="120" w:type="dxa"/>
            </w:tcMar>
            <w:vAlign w:val="center"/>
          </w:tcPr>
          <w:p>
            <w:pPr>
              <w:jc w:val="center"/>
            </w:pPr>
            <w:r>
              <w:rPr>
                <w:rFonts w:ascii="Calibri" w:hAnsi="Calibri"/>
                <w:b/>
                <w:color w:val="102033"/>
                <w:sz w:val="18"/>
              </w:rPr>
              <w:t>2</w:t>
            </w:r>
          </w:p>
        </w:tc>
        <w:tc>
          <w:tcPr>
            <w:tcW w:type="dxa" w:w="2100"/>
            <w:tcMar>
              <w:top w:w="80" w:type="dxa"/>
              <w:bottom w:w="80" w:type="dxa"/>
              <w:start w:w="120" w:type="dxa"/>
              <w:end w:w="120" w:type="dxa"/>
            </w:tcMar>
            <w:vAlign w:val="center"/>
          </w:tcPr>
          <w:p>
            <w:r>
              <w:rPr>
                <w:rFonts w:ascii="Calibri" w:hAnsi="Calibri"/>
                <w:b/>
                <w:color w:val="102033"/>
                <w:sz w:val="18"/>
              </w:rPr>
              <w:t>Validate model key</w:t>
            </w:r>
          </w:p>
        </w:tc>
        <w:tc>
          <w:tcPr>
            <w:tcW w:type="dxa" w:w="6610"/>
            <w:tcMar>
              <w:top w:w="80" w:type="dxa"/>
              <w:bottom w:w="80" w:type="dxa"/>
              <w:start w:w="120" w:type="dxa"/>
              <w:end w:w="120" w:type="dxa"/>
            </w:tcMar>
            <w:vAlign w:val="center"/>
          </w:tcPr>
          <w:p>
            <w:r>
              <w:rPr>
                <w:rFonts w:ascii="Calibri" w:hAnsi="Calibri"/>
                <w:b w:val="0"/>
                <w:color w:val="102033"/>
                <w:sz w:val="18"/>
              </w:rPr>
              <w:t>The key is sent to /api/validate-key. The backend detects provider by prefix and performs a small JSON-only model call.</w:t>
            </w:r>
          </w:p>
        </w:tc>
      </w:tr>
      <w:tr>
        <w:tc>
          <w:tcPr>
            <w:tcW w:type="dxa" w:w="650"/>
            <w:tcMar>
              <w:top w:w="80" w:type="dxa"/>
              <w:bottom w:w="80" w:type="dxa"/>
              <w:start w:w="120" w:type="dxa"/>
              <w:end w:w="120" w:type="dxa"/>
            </w:tcMar>
            <w:vAlign w:val="center"/>
          </w:tcPr>
          <w:p>
            <w:pPr>
              <w:jc w:val="center"/>
            </w:pPr>
            <w:r>
              <w:rPr>
                <w:rFonts w:ascii="Calibri" w:hAnsi="Calibri"/>
                <w:b/>
                <w:color w:val="102033"/>
                <w:sz w:val="18"/>
              </w:rPr>
              <w:t>3</w:t>
            </w:r>
          </w:p>
        </w:tc>
        <w:tc>
          <w:tcPr>
            <w:tcW w:type="dxa" w:w="2100"/>
            <w:tcMar>
              <w:top w:w="80" w:type="dxa"/>
              <w:bottom w:w="80" w:type="dxa"/>
              <w:start w:w="120" w:type="dxa"/>
              <w:end w:w="120" w:type="dxa"/>
            </w:tcMar>
            <w:vAlign w:val="center"/>
          </w:tcPr>
          <w:p>
            <w:r>
              <w:rPr>
                <w:rFonts w:ascii="Calibri" w:hAnsi="Calibri"/>
                <w:b/>
                <w:color w:val="102033"/>
                <w:sz w:val="18"/>
              </w:rPr>
              <w:t>Unlock workspace</w:t>
            </w:r>
          </w:p>
        </w:tc>
        <w:tc>
          <w:tcPr>
            <w:tcW w:type="dxa" w:w="6610"/>
            <w:tcMar>
              <w:top w:w="80" w:type="dxa"/>
              <w:bottom w:w="80" w:type="dxa"/>
              <w:start w:w="120" w:type="dxa"/>
              <w:end w:w="120" w:type="dxa"/>
            </w:tcMar>
            <w:vAlign w:val="center"/>
          </w:tcPr>
          <w:p>
            <w:r>
              <w:rPr>
                <w:rFonts w:ascii="Calibri" w:hAnsi="Calibri"/>
                <w:b w:val="0"/>
                <w:color w:val="102033"/>
                <w:sz w:val="18"/>
              </w:rPr>
              <w:t>On success, the UI hides the gate and displays the detected provider/model in the status pill.</w:t>
            </w:r>
          </w:p>
        </w:tc>
      </w:tr>
      <w:tr>
        <w:tc>
          <w:tcPr>
            <w:tcW w:type="dxa" w:w="650"/>
            <w:tcMar>
              <w:top w:w="80" w:type="dxa"/>
              <w:bottom w:w="80" w:type="dxa"/>
              <w:start w:w="120" w:type="dxa"/>
              <w:end w:w="120" w:type="dxa"/>
            </w:tcMar>
            <w:vAlign w:val="center"/>
          </w:tcPr>
          <w:p>
            <w:pPr>
              <w:jc w:val="center"/>
            </w:pPr>
            <w:r>
              <w:rPr>
                <w:rFonts w:ascii="Calibri" w:hAnsi="Calibri"/>
                <w:b/>
                <w:color w:val="102033"/>
                <w:sz w:val="18"/>
              </w:rPr>
              <w:t>4</w:t>
            </w:r>
          </w:p>
        </w:tc>
        <w:tc>
          <w:tcPr>
            <w:tcW w:type="dxa" w:w="2100"/>
            <w:tcMar>
              <w:top w:w="80" w:type="dxa"/>
              <w:bottom w:w="80" w:type="dxa"/>
              <w:start w:w="120" w:type="dxa"/>
              <w:end w:w="120" w:type="dxa"/>
            </w:tcMar>
            <w:vAlign w:val="center"/>
          </w:tcPr>
          <w:p>
            <w:r>
              <w:rPr>
                <w:rFonts w:ascii="Calibri" w:hAnsi="Calibri"/>
                <w:b/>
                <w:color w:val="102033"/>
                <w:sz w:val="18"/>
              </w:rPr>
              <w:t>Submit patient data</w:t>
            </w:r>
          </w:p>
        </w:tc>
        <w:tc>
          <w:tcPr>
            <w:tcW w:type="dxa" w:w="6610"/>
            <w:tcMar>
              <w:top w:w="80" w:type="dxa"/>
              <w:bottom w:w="80" w:type="dxa"/>
              <w:start w:w="120" w:type="dxa"/>
              <w:end w:w="120" w:type="dxa"/>
            </w:tcMar>
            <w:vAlign w:val="center"/>
          </w:tcPr>
          <w:p>
            <w:r>
              <w:rPr>
                <w:rFonts w:ascii="Calibri" w:hAnsi="Calibri"/>
                <w:b w:val="0"/>
                <w:color w:val="102033"/>
                <w:sz w:val="18"/>
              </w:rPr>
              <w:t>The unchanged clinical payload posts to /api/analyze with X-LLM-API-Key in the request header.</w:t>
            </w:r>
          </w:p>
        </w:tc>
      </w:tr>
      <w:tr>
        <w:tc>
          <w:tcPr>
            <w:tcW w:type="dxa" w:w="650"/>
            <w:tcMar>
              <w:top w:w="80" w:type="dxa"/>
              <w:bottom w:w="80" w:type="dxa"/>
              <w:start w:w="120" w:type="dxa"/>
              <w:end w:w="120" w:type="dxa"/>
            </w:tcMar>
            <w:vAlign w:val="center"/>
          </w:tcPr>
          <w:p>
            <w:pPr>
              <w:jc w:val="center"/>
            </w:pPr>
            <w:r>
              <w:rPr>
                <w:rFonts w:ascii="Calibri" w:hAnsi="Calibri"/>
                <w:b/>
                <w:color w:val="102033"/>
                <w:sz w:val="18"/>
              </w:rPr>
              <w:t>5</w:t>
            </w:r>
          </w:p>
        </w:tc>
        <w:tc>
          <w:tcPr>
            <w:tcW w:type="dxa" w:w="2100"/>
            <w:tcMar>
              <w:top w:w="80" w:type="dxa"/>
              <w:bottom w:w="80" w:type="dxa"/>
              <w:start w:w="120" w:type="dxa"/>
              <w:end w:w="120" w:type="dxa"/>
            </w:tcMar>
            <w:vAlign w:val="center"/>
          </w:tcPr>
          <w:p>
            <w:r>
              <w:rPr>
                <w:rFonts w:ascii="Calibri" w:hAnsi="Calibri"/>
                <w:b/>
                <w:color w:val="102033"/>
                <w:sz w:val="18"/>
              </w:rPr>
              <w:t>Run agents</w:t>
            </w:r>
          </w:p>
        </w:tc>
        <w:tc>
          <w:tcPr>
            <w:tcW w:type="dxa" w:w="6610"/>
            <w:tcMar>
              <w:top w:w="80" w:type="dxa"/>
              <w:bottom w:w="80" w:type="dxa"/>
              <w:start w:w="120" w:type="dxa"/>
              <w:end w:w="120" w:type="dxa"/>
            </w:tcMar>
            <w:vAlign w:val="center"/>
          </w:tcPr>
          <w:p>
            <w:r>
              <w:rPr>
                <w:rFonts w:ascii="Calibri" w:hAnsi="Calibri"/>
                <w:b w:val="0"/>
                <w:color w:val="102033"/>
                <w:sz w:val="18"/>
              </w:rPr>
              <w:t>A1-A4 execute sequentially with rate limiting, timeout handling, JSON validation, and metadata capture.</w:t>
            </w:r>
          </w:p>
        </w:tc>
      </w:tr>
      <w:tr>
        <w:tc>
          <w:tcPr>
            <w:tcW w:type="dxa" w:w="650"/>
            <w:tcMar>
              <w:top w:w="80" w:type="dxa"/>
              <w:bottom w:w="80" w:type="dxa"/>
              <w:start w:w="120" w:type="dxa"/>
              <w:end w:w="120" w:type="dxa"/>
            </w:tcMar>
            <w:vAlign w:val="center"/>
          </w:tcPr>
          <w:p>
            <w:pPr>
              <w:jc w:val="center"/>
            </w:pPr>
            <w:r>
              <w:rPr>
                <w:rFonts w:ascii="Calibri" w:hAnsi="Calibri"/>
                <w:b/>
                <w:color w:val="102033"/>
                <w:sz w:val="18"/>
              </w:rPr>
              <w:t>6</w:t>
            </w:r>
          </w:p>
        </w:tc>
        <w:tc>
          <w:tcPr>
            <w:tcW w:type="dxa" w:w="2100"/>
            <w:tcMar>
              <w:top w:w="80" w:type="dxa"/>
              <w:bottom w:w="80" w:type="dxa"/>
              <w:start w:w="120" w:type="dxa"/>
              <w:end w:w="120" w:type="dxa"/>
            </w:tcMar>
            <w:vAlign w:val="center"/>
          </w:tcPr>
          <w:p>
            <w:r>
              <w:rPr>
                <w:rFonts w:ascii="Calibri" w:hAnsi="Calibri"/>
                <w:b/>
                <w:color w:val="102033"/>
                <w:sz w:val="18"/>
              </w:rPr>
              <w:t>Render report</w:t>
            </w:r>
          </w:p>
        </w:tc>
        <w:tc>
          <w:tcPr>
            <w:tcW w:type="dxa" w:w="6610"/>
            <w:tcMar>
              <w:top w:w="80" w:type="dxa"/>
              <w:bottom w:w="80" w:type="dxa"/>
              <w:start w:w="120" w:type="dxa"/>
              <w:end w:w="120" w:type="dxa"/>
            </w:tcMar>
            <w:vAlign w:val="center"/>
          </w:tcPr>
          <w:p>
            <w:r>
              <w:rPr>
                <w:rFonts w:ascii="Calibri" w:hAnsi="Calibri"/>
                <w:b w:val="0"/>
                <w:color w:val="102033"/>
                <w:sz w:val="18"/>
              </w:rPr>
              <w:t>The result panel shows recommendation, rationale, kinetic findings, warnings, override flags, and agent reasoning.</w:t>
            </w:r>
          </w:p>
        </w:tc>
      </w:tr>
    </w:tbl>
    <w:p>
      <w:pPr>
        <w:spacing w:before="0" w:after="80" w:line="264" w:lineRule="auto"/>
      </w:pPr>
    </w:p>
    <w:p>
      <w:pPr>
        <w:pStyle w:val="Heading1"/>
        <w:spacing w:before="320" w:after="160" w:line="264" w:lineRule="auto"/>
      </w:pPr>
      <w:r>
        <w:rPr>
          <w:rFonts w:ascii="Calibri" w:hAnsi="Calibri"/>
          <w:b/>
          <w:color w:val="2E7DD4"/>
          <w:sz w:val="32"/>
        </w:rPr>
        <w:t>New Multi-Provider Model Support</w:t>
      </w:r>
    </w:p>
    <w:p>
      <w:pPr>
        <w:spacing w:before="0" w:after="120" w:line="264" w:lineRule="auto"/>
      </w:pPr>
      <w:r>
        <w:rPr>
          <w:rFonts w:ascii="Calibri" w:hAnsi="Calibri"/>
          <w:b w:val="0"/>
          <w:i w:val="0"/>
          <w:color w:val="102033"/>
          <w:sz w:val="22"/>
        </w:rPr>
        <w:t>The latest build replaces a Gemini-only local key gate with provider-aware routing. The user enters one key; BrahmsAI infers the provider and runs the existing clinical pipeline on that model family.</w:t>
      </w:r>
    </w:p>
    <w:tbl>
      <w:tblPr>
        <w:tblW w:type="dxa" w:w="9360"/>
        <w:tblLook w:firstColumn="1" w:firstRow="1" w:lastColumn="0" w:lastRow="0" w:noHBand="0" w:noVBand="1" w:val="04A0"/>
        <w:tblInd w:w="120" w:type="dxa"/>
        <w:tblLayout w:type="fixed"/>
        <w:tblBorders>
          <w:top w:val="single" w:sz="4" w:space="0" w:color="D6E2EC"/>
          <w:left w:val="single" w:sz="4" w:space="0" w:color="D6E2EC"/>
          <w:bottom w:val="single" w:sz="4" w:space="0" w:color="D6E2EC"/>
          <w:right w:val="single" w:sz="4" w:space="0" w:color="D6E2EC"/>
          <w:insideH w:val="single" w:sz="4" w:space="0" w:color="D6E2EC"/>
          <w:insideV w:val="single" w:sz="4" w:space="0" w:color="D6E2EC"/>
        </w:tblBorders>
      </w:tblPr>
      <w:tblGrid>
        <w:gridCol w:w="1600"/>
        <w:gridCol w:w="2300"/>
        <w:gridCol w:w="2600"/>
        <w:gridCol w:w="2860"/>
      </w:tblGrid>
      <w:tr>
        <w:tc>
          <w:tcPr>
            <w:tcW w:type="dxa" w:w="1600"/>
            <w:tcMar>
              <w:top w:w="80" w:type="dxa"/>
              <w:bottom w:w="80" w:type="dxa"/>
              <w:start w:w="120" w:type="dxa"/>
              <w:end w:w="120" w:type="dxa"/>
            </w:tcMar>
            <w:vAlign w:val="center"/>
            <w:shd w:fill="0D2B55"/>
          </w:tcPr>
          <w:p>
            <w:r>
              <w:rPr>
                <w:rFonts w:ascii="Calibri" w:hAnsi="Calibri"/>
                <w:b/>
                <w:color w:val="FFFFFF"/>
                <w:sz w:val="18"/>
              </w:rPr>
              <w:t>Key prefix</w:t>
            </w:r>
          </w:p>
        </w:tc>
        <w:tc>
          <w:tcPr>
            <w:tcW w:type="dxa" w:w="2300"/>
            <w:tcMar>
              <w:top w:w="80" w:type="dxa"/>
              <w:bottom w:w="80" w:type="dxa"/>
              <w:start w:w="120" w:type="dxa"/>
              <w:end w:w="120" w:type="dxa"/>
            </w:tcMar>
            <w:vAlign w:val="center"/>
            <w:shd w:fill="0D2B55"/>
          </w:tcPr>
          <w:p>
            <w:r>
              <w:rPr>
                <w:rFonts w:ascii="Calibri" w:hAnsi="Calibri"/>
                <w:b/>
                <w:color w:val="FFFFFF"/>
                <w:sz w:val="18"/>
              </w:rPr>
              <w:t>Detected provider</w:t>
            </w:r>
          </w:p>
        </w:tc>
        <w:tc>
          <w:tcPr>
            <w:tcW w:type="dxa" w:w="2600"/>
            <w:tcMar>
              <w:top w:w="80" w:type="dxa"/>
              <w:bottom w:w="80" w:type="dxa"/>
              <w:start w:w="120" w:type="dxa"/>
              <w:end w:w="120" w:type="dxa"/>
            </w:tcMar>
            <w:vAlign w:val="center"/>
            <w:shd w:fill="0D2B55"/>
          </w:tcPr>
          <w:p>
            <w:r>
              <w:rPr>
                <w:rFonts w:ascii="Calibri" w:hAnsi="Calibri"/>
                <w:b/>
                <w:color w:val="FFFFFF"/>
                <w:sz w:val="18"/>
              </w:rPr>
              <w:t>Default model</w:t>
            </w:r>
          </w:p>
        </w:tc>
        <w:tc>
          <w:tcPr>
            <w:tcW w:type="dxa" w:w="2860"/>
            <w:tcMar>
              <w:top w:w="80" w:type="dxa"/>
              <w:bottom w:w="80" w:type="dxa"/>
              <w:start w:w="120" w:type="dxa"/>
              <w:end w:w="120" w:type="dxa"/>
            </w:tcMar>
            <w:vAlign w:val="center"/>
            <w:shd w:fill="0D2B55"/>
          </w:tcPr>
          <w:p>
            <w:r>
              <w:rPr>
                <w:rFonts w:ascii="Calibri" w:hAnsi="Calibri"/>
                <w:b/>
                <w:color w:val="FFFFFF"/>
                <w:sz w:val="18"/>
              </w:rPr>
              <w:t>API route style</w:t>
            </w:r>
          </w:p>
        </w:tc>
      </w:tr>
      <w:tr>
        <w:tc>
          <w:tcPr>
            <w:tcW w:type="dxa" w:w="1600"/>
            <w:tcMar>
              <w:top w:w="80" w:type="dxa"/>
              <w:bottom w:w="80" w:type="dxa"/>
              <w:start w:w="120" w:type="dxa"/>
              <w:end w:w="120" w:type="dxa"/>
            </w:tcMar>
            <w:vAlign w:val="center"/>
            <w:shd w:fill="F4F8FB"/>
          </w:tcPr>
          <w:p>
            <w:pPr>
              <w:jc w:val="center"/>
            </w:pPr>
            <w:r>
              <w:rPr>
                <w:rFonts w:ascii="Calibri" w:hAnsi="Calibri"/>
                <w:b w:val="0"/>
                <w:color w:val="102033"/>
                <w:sz w:val="17"/>
              </w:rPr>
              <w:t>AIza...</w:t>
            </w:r>
          </w:p>
        </w:tc>
        <w:tc>
          <w:tcPr>
            <w:tcW w:type="dxa" w:w="2300"/>
            <w:tcMar>
              <w:top w:w="80" w:type="dxa"/>
              <w:bottom w:w="80" w:type="dxa"/>
              <w:start w:w="120" w:type="dxa"/>
              <w:end w:w="120" w:type="dxa"/>
            </w:tcMar>
            <w:vAlign w:val="center"/>
          </w:tcPr>
          <w:p>
            <w:r>
              <w:rPr>
                <w:rFonts w:ascii="Calibri" w:hAnsi="Calibri"/>
                <w:b/>
                <w:color w:val="102033"/>
                <w:sz w:val="17"/>
              </w:rPr>
              <w:t>Google AI Studio</w:t>
            </w:r>
          </w:p>
        </w:tc>
        <w:tc>
          <w:tcPr>
            <w:tcW w:type="dxa" w:w="2600"/>
            <w:tcMar>
              <w:top w:w="80" w:type="dxa"/>
              <w:bottom w:w="80" w:type="dxa"/>
              <w:start w:w="120" w:type="dxa"/>
              <w:end w:w="120" w:type="dxa"/>
            </w:tcMar>
            <w:vAlign w:val="center"/>
          </w:tcPr>
          <w:p>
            <w:r>
              <w:rPr>
                <w:rFonts w:ascii="Calibri" w:hAnsi="Calibri"/>
                <w:b w:val="0"/>
                <w:color w:val="102033"/>
                <w:sz w:val="17"/>
              </w:rPr>
              <w:t>gemini-2.5-flash</w:t>
            </w:r>
          </w:p>
        </w:tc>
        <w:tc>
          <w:tcPr>
            <w:tcW w:type="dxa" w:w="2860"/>
            <w:tcMar>
              <w:top w:w="80" w:type="dxa"/>
              <w:bottom w:w="80" w:type="dxa"/>
              <w:start w:w="120" w:type="dxa"/>
              <w:end w:w="120" w:type="dxa"/>
            </w:tcMar>
            <w:vAlign w:val="center"/>
          </w:tcPr>
          <w:p>
            <w:r>
              <w:rPr>
                <w:rFonts w:ascii="Calibri" w:hAnsi="Calibri"/>
                <w:b w:val="0"/>
                <w:color w:val="102033"/>
                <w:sz w:val="17"/>
              </w:rPr>
              <w:t>google-genai SDK</w:t>
            </w:r>
          </w:p>
        </w:tc>
      </w:tr>
      <w:tr>
        <w:tc>
          <w:tcPr>
            <w:tcW w:type="dxa" w:w="1600"/>
            <w:tcMar>
              <w:top w:w="80" w:type="dxa"/>
              <w:bottom w:w="80" w:type="dxa"/>
              <w:start w:w="120" w:type="dxa"/>
              <w:end w:w="120" w:type="dxa"/>
            </w:tcMar>
            <w:vAlign w:val="center"/>
            <w:shd w:fill="F4F8FB"/>
          </w:tcPr>
          <w:p>
            <w:pPr>
              <w:jc w:val="center"/>
            </w:pPr>
            <w:r>
              <w:rPr>
                <w:rFonts w:ascii="Calibri" w:hAnsi="Calibri"/>
                <w:b w:val="0"/>
                <w:color w:val="102033"/>
                <w:sz w:val="17"/>
              </w:rPr>
              <w:t>sk-...</w:t>
            </w:r>
          </w:p>
        </w:tc>
        <w:tc>
          <w:tcPr>
            <w:tcW w:type="dxa" w:w="2300"/>
            <w:tcMar>
              <w:top w:w="80" w:type="dxa"/>
              <w:bottom w:w="80" w:type="dxa"/>
              <w:start w:w="120" w:type="dxa"/>
              <w:end w:w="120" w:type="dxa"/>
            </w:tcMar>
            <w:vAlign w:val="center"/>
          </w:tcPr>
          <w:p>
            <w:r>
              <w:rPr>
                <w:rFonts w:ascii="Calibri" w:hAnsi="Calibri"/>
                <w:b/>
                <w:color w:val="102033"/>
                <w:sz w:val="17"/>
              </w:rPr>
              <w:t>OpenAI / ChatGPT</w:t>
            </w:r>
          </w:p>
        </w:tc>
        <w:tc>
          <w:tcPr>
            <w:tcW w:type="dxa" w:w="2600"/>
            <w:tcMar>
              <w:top w:w="80" w:type="dxa"/>
              <w:bottom w:w="80" w:type="dxa"/>
              <w:start w:w="120" w:type="dxa"/>
              <w:end w:w="120" w:type="dxa"/>
            </w:tcMar>
            <w:vAlign w:val="center"/>
          </w:tcPr>
          <w:p>
            <w:r>
              <w:rPr>
                <w:rFonts w:ascii="Calibri" w:hAnsi="Calibri"/>
                <w:b w:val="0"/>
                <w:color w:val="102033"/>
                <w:sz w:val="17"/>
              </w:rPr>
              <w:t>gpt-4o-mini</w:t>
            </w:r>
          </w:p>
        </w:tc>
        <w:tc>
          <w:tcPr>
            <w:tcW w:type="dxa" w:w="2860"/>
            <w:tcMar>
              <w:top w:w="80" w:type="dxa"/>
              <w:bottom w:w="80" w:type="dxa"/>
              <w:start w:w="120" w:type="dxa"/>
              <w:end w:w="120" w:type="dxa"/>
            </w:tcMar>
            <w:vAlign w:val="center"/>
          </w:tcPr>
          <w:p>
            <w:r>
              <w:rPr>
                <w:rFonts w:ascii="Calibri" w:hAnsi="Calibri"/>
                <w:b w:val="0"/>
                <w:color w:val="102033"/>
                <w:sz w:val="17"/>
              </w:rPr>
              <w:t>OpenAI chat completions HTTP API</w:t>
            </w:r>
          </w:p>
        </w:tc>
      </w:tr>
      <w:tr>
        <w:tc>
          <w:tcPr>
            <w:tcW w:type="dxa" w:w="1600"/>
            <w:tcMar>
              <w:top w:w="80" w:type="dxa"/>
              <w:bottom w:w="80" w:type="dxa"/>
              <w:start w:w="120" w:type="dxa"/>
              <w:end w:w="120" w:type="dxa"/>
            </w:tcMar>
            <w:vAlign w:val="center"/>
            <w:shd w:fill="F4F8FB"/>
          </w:tcPr>
          <w:p>
            <w:pPr>
              <w:jc w:val="center"/>
            </w:pPr>
            <w:r>
              <w:rPr>
                <w:rFonts w:ascii="Calibri" w:hAnsi="Calibri"/>
                <w:b w:val="0"/>
                <w:color w:val="102033"/>
                <w:sz w:val="17"/>
              </w:rPr>
              <w:t>sk-ant-...</w:t>
            </w:r>
          </w:p>
        </w:tc>
        <w:tc>
          <w:tcPr>
            <w:tcW w:type="dxa" w:w="2300"/>
            <w:tcMar>
              <w:top w:w="80" w:type="dxa"/>
              <w:bottom w:w="80" w:type="dxa"/>
              <w:start w:w="120" w:type="dxa"/>
              <w:end w:w="120" w:type="dxa"/>
            </w:tcMar>
            <w:vAlign w:val="center"/>
          </w:tcPr>
          <w:p>
            <w:r>
              <w:rPr>
                <w:rFonts w:ascii="Calibri" w:hAnsi="Calibri"/>
                <w:b/>
                <w:color w:val="102033"/>
                <w:sz w:val="17"/>
              </w:rPr>
              <w:t>Anthropic / Claude</w:t>
            </w:r>
          </w:p>
        </w:tc>
        <w:tc>
          <w:tcPr>
            <w:tcW w:type="dxa" w:w="2600"/>
            <w:tcMar>
              <w:top w:w="80" w:type="dxa"/>
              <w:bottom w:w="80" w:type="dxa"/>
              <w:start w:w="120" w:type="dxa"/>
              <w:end w:w="120" w:type="dxa"/>
            </w:tcMar>
            <w:vAlign w:val="center"/>
          </w:tcPr>
          <w:p>
            <w:r>
              <w:rPr>
                <w:rFonts w:ascii="Calibri" w:hAnsi="Calibri"/>
                <w:b w:val="0"/>
                <w:color w:val="102033"/>
                <w:sz w:val="17"/>
              </w:rPr>
              <w:t>claude-3-5-haiku-latest</w:t>
            </w:r>
          </w:p>
        </w:tc>
        <w:tc>
          <w:tcPr>
            <w:tcW w:type="dxa" w:w="2860"/>
            <w:tcMar>
              <w:top w:w="80" w:type="dxa"/>
              <w:bottom w:w="80" w:type="dxa"/>
              <w:start w:w="120" w:type="dxa"/>
              <w:end w:w="120" w:type="dxa"/>
            </w:tcMar>
            <w:vAlign w:val="center"/>
          </w:tcPr>
          <w:p>
            <w:r>
              <w:rPr>
                <w:rFonts w:ascii="Calibri" w:hAnsi="Calibri"/>
                <w:b w:val="0"/>
                <w:color w:val="102033"/>
                <w:sz w:val="17"/>
              </w:rPr>
              <w:t>Anthropic messages HTTP API</w:t>
            </w:r>
          </w:p>
        </w:tc>
      </w:tr>
      <w:tr>
        <w:tc>
          <w:tcPr>
            <w:tcW w:type="dxa" w:w="1600"/>
            <w:tcMar>
              <w:top w:w="80" w:type="dxa"/>
              <w:bottom w:w="80" w:type="dxa"/>
              <w:start w:w="120" w:type="dxa"/>
              <w:end w:w="120" w:type="dxa"/>
            </w:tcMar>
            <w:vAlign w:val="center"/>
            <w:shd w:fill="F4F8FB"/>
          </w:tcPr>
          <w:p>
            <w:pPr>
              <w:jc w:val="center"/>
            </w:pPr>
            <w:r>
              <w:rPr>
                <w:rFonts w:ascii="Calibri" w:hAnsi="Calibri"/>
                <w:b w:val="0"/>
                <w:color w:val="102033"/>
                <w:sz w:val="17"/>
              </w:rPr>
              <w:t>sk-or-...</w:t>
            </w:r>
          </w:p>
        </w:tc>
        <w:tc>
          <w:tcPr>
            <w:tcW w:type="dxa" w:w="2300"/>
            <w:tcMar>
              <w:top w:w="80" w:type="dxa"/>
              <w:bottom w:w="80" w:type="dxa"/>
              <w:start w:w="120" w:type="dxa"/>
              <w:end w:w="120" w:type="dxa"/>
            </w:tcMar>
            <w:vAlign w:val="center"/>
          </w:tcPr>
          <w:p>
            <w:r>
              <w:rPr>
                <w:rFonts w:ascii="Calibri" w:hAnsi="Calibri"/>
                <w:b/>
                <w:color w:val="102033"/>
                <w:sz w:val="17"/>
              </w:rPr>
              <w:t>OpenRouter</w:t>
            </w:r>
          </w:p>
        </w:tc>
        <w:tc>
          <w:tcPr>
            <w:tcW w:type="dxa" w:w="2600"/>
            <w:tcMar>
              <w:top w:w="80" w:type="dxa"/>
              <w:bottom w:w="80" w:type="dxa"/>
              <w:start w:w="120" w:type="dxa"/>
              <w:end w:w="120" w:type="dxa"/>
            </w:tcMar>
            <w:vAlign w:val="center"/>
          </w:tcPr>
          <w:p>
            <w:r>
              <w:rPr>
                <w:rFonts w:ascii="Calibri" w:hAnsi="Calibri"/>
                <w:b w:val="0"/>
                <w:color w:val="102033"/>
                <w:sz w:val="17"/>
              </w:rPr>
              <w:t>meta-llama/llama-4-scout:free</w:t>
            </w:r>
          </w:p>
        </w:tc>
        <w:tc>
          <w:tcPr>
            <w:tcW w:type="dxa" w:w="2860"/>
            <w:tcMar>
              <w:top w:w="80" w:type="dxa"/>
              <w:bottom w:w="80" w:type="dxa"/>
              <w:start w:w="120" w:type="dxa"/>
              <w:end w:w="120" w:type="dxa"/>
            </w:tcMar>
            <w:vAlign w:val="center"/>
          </w:tcPr>
          <w:p>
            <w:r>
              <w:rPr>
                <w:rFonts w:ascii="Calibri" w:hAnsi="Calibri"/>
                <w:b w:val="0"/>
                <w:color w:val="102033"/>
                <w:sz w:val="17"/>
              </w:rPr>
              <w:t>OpenRouter chat completions HTTP API</w:t>
            </w:r>
          </w:p>
        </w:tc>
      </w:tr>
    </w:tbl>
    <w:tbl>
      <w:tblPr>
        <w:tblW w:type="dxa" w:w="9360"/>
        <w:tblLook w:firstColumn="1" w:firstRow="1" w:lastColumn="0" w:lastRow="0" w:noHBand="0" w:noVBand="1" w:val="04A0"/>
        <w:tblInd w:w="120" w:type="dxa"/>
        <w:tblLayout w:type="fixed"/>
        <w:tblBorders>
          <w:top w:val="single" w:sz="6" w:space="0" w:color="F59E0B"/>
          <w:left w:val="single" w:sz="6" w:space="0" w:color="F59E0B"/>
          <w:bottom w:val="single" w:sz="6" w:space="0" w:color="F59E0B"/>
          <w:right w:val="single" w:sz="6" w:space="0" w:color="F59E0B"/>
          <w:insideH w:val="single" w:sz="6" w:space="0" w:color="F59E0B"/>
          <w:insideV w:val="single" w:sz="6" w:space="0" w:color="F59E0B"/>
        </w:tblBorders>
      </w:tblPr>
      <w:tblGrid>
        <w:gridCol w:w="9360"/>
      </w:tblGrid>
      <w:tr>
        <w:tc>
          <w:tcPr>
            <w:tcW w:type="dxa" w:w="9360"/>
            <w:tcMar>
              <w:top w:w="80" w:type="dxa"/>
              <w:bottom w:w="80" w:type="dxa"/>
              <w:start w:w="120" w:type="dxa"/>
              <w:end w:w="120" w:type="dxa"/>
            </w:tcMar>
            <w:vAlign w:val="center"/>
            <w:shd w:fill="FFF8E8"/>
          </w:tcPr>
          <w:p>
            <w:pPr>
              <w:spacing w:after="60"/>
            </w:pPr>
            <w:r>
              <w:rPr>
                <w:rFonts w:ascii="Calibri" w:hAnsi="Calibri"/>
                <w:b/>
                <w:color w:val="F59E0B"/>
                <w:sz w:val="18"/>
              </w:rPr>
              <w:t>DESIGN CONSTRAINT</w:t>
            </w:r>
          </w:p>
          <w:p>
            <w:pPr>
              <w:spacing w:after="0" w:line="264" w:lineRule="auto"/>
            </w:pPr>
            <w:r>
              <w:rPr>
                <w:rFonts w:ascii="Calibri" w:hAnsi="Calibri"/>
                <w:color w:val="102033"/>
                <w:sz w:val="21"/>
              </w:rPr>
              <w:t>API keys identify the provider, not the user's preferred model. BrahmsAI therefore maps each provider to a conservative default model. A future settings control can expose model selection without changing the clinical payload.</w:t>
            </w:r>
          </w:p>
        </w:tc>
      </w:tr>
    </w:tbl>
    <w:p>
      <w:pPr>
        <w:spacing w:before="0" w:after="80" w:line="264" w:lineRule="auto"/>
      </w:pPr>
    </w:p>
    <w:p>
      <w:pPr>
        <w:pStyle w:val="Heading1"/>
        <w:spacing w:before="320" w:after="160" w:line="264" w:lineRule="auto"/>
      </w:pPr>
      <w:r>
        <w:rPr>
          <w:rFonts w:ascii="Calibri" w:hAnsi="Calibri"/>
          <w:b/>
          <w:color w:val="2E7DD4"/>
          <w:sz w:val="32"/>
        </w:rPr>
        <w:t>Clinical Decision-Support Features</w:t>
      </w:r>
    </w:p>
    <w:p>
      <w:pPr>
        <w:pStyle w:val="Heading2"/>
        <w:spacing w:before="240" w:after="120" w:line="264" w:lineRule="auto"/>
      </w:pPr>
      <w:r>
        <w:rPr>
          <w:rFonts w:ascii="Calibri" w:hAnsi="Calibri"/>
          <w:b/>
          <w:color w:val="2E7DD4"/>
          <w:sz w:val="26"/>
        </w:rPr>
        <w:t>PCT-Guided Intake</w:t>
      </w:r>
    </w:p>
    <w:p>
      <w:pPr>
        <w:spacing w:before="0" w:after="120" w:line="264" w:lineRule="auto"/>
      </w:pPr>
      <w:r>
        <w:rPr>
          <w:rFonts w:ascii="Calibri" w:hAnsi="Calibri"/>
          <w:b w:val="0"/>
          <w:i w:val="0"/>
          <w:color w:val="102033"/>
          <w:sz w:val="22"/>
        </w:rPr>
        <w:t>The PCT value remains the primary hero input. Live threshold bands help users orient the case before submitting data. The UI preserves the existing backend payload fields, including vital signs, labs, risk flags, antibiotic status, serial PCT values, and clinical notes.</w:t>
      </w:r>
    </w:p>
    <w:p>
      <w:pPr>
        <w:pStyle w:val="Heading2"/>
        <w:spacing w:before="240" w:after="120" w:line="264" w:lineRule="auto"/>
      </w:pPr>
      <w:r>
        <w:rPr>
          <w:rFonts w:ascii="Calibri" w:hAnsi="Calibri"/>
          <w:b/>
          <w:color w:val="2E7DD4"/>
          <w:sz w:val="26"/>
        </w:rPr>
        <w:t>Kinetic Analysis</w:t>
      </w:r>
    </w:p>
    <w:p>
      <w:pPr>
        <w:spacing w:before="0" w:after="120" w:line="264" w:lineRule="auto"/>
      </w:pPr>
      <w:r>
        <w:rPr>
          <w:rFonts w:ascii="Calibri" w:hAnsi="Calibri"/>
          <w:b w:val="0"/>
          <w:i w:val="0"/>
          <w:color w:val="102033"/>
          <w:sz w:val="22"/>
        </w:rPr>
        <w:t>The kinetic section is intentionally prominent because serial PCT response is a key stewardship signal. Users can enter previous measurements, see peak-to-current decline in real time, and receive a Day 4 alert when decline remains below the 80 percent response threshold.</w:t>
      </w:r>
    </w:p>
    <w:p>
      <w:pPr>
        <w:pStyle w:val="Heading2"/>
        <w:spacing w:before="240" w:after="120" w:line="264" w:lineRule="auto"/>
      </w:pPr>
      <w:r>
        <w:rPr>
          <w:rFonts w:ascii="Calibri" w:hAnsi="Calibri"/>
          <w:b/>
          <w:color w:val="2E7DD4"/>
          <w:sz w:val="26"/>
        </w:rPr>
        <w:t>Report Surface</w:t>
      </w:r>
    </w:p>
    <w:p>
      <w:pPr>
        <w:spacing w:before="0" w:after="120" w:line="264" w:lineRule="auto"/>
      </w:pPr>
      <w:r>
        <w:rPr>
          <w:rFonts w:ascii="Calibri" w:hAnsi="Calibri"/>
          <w:b w:val="0"/>
          <w:i w:val="0"/>
          <w:color w:val="102033"/>
          <w:sz w:val="22"/>
        </w:rPr>
        <w:t>The output panel transitions from placeholder to progress state to final report. It presents recommendation, strength, patient summary, PCT interpretation, kinetic analysis, rationale, next steps, warnings, override flags, clinician review state, and collapsible agent reasoning.</w:t>
      </w:r>
    </w:p>
    <w:p>
      <w:pPr>
        <w:pStyle w:val="Heading1"/>
        <w:spacing w:before="320" w:after="160" w:line="264" w:lineRule="auto"/>
      </w:pPr>
      <w:r>
        <w:rPr>
          <w:rFonts w:ascii="Calibri" w:hAnsi="Calibri"/>
          <w:b/>
          <w:color w:val="2E7DD4"/>
          <w:sz w:val="32"/>
        </w:rPr>
        <w:t>Safety, Security, and Operations</w:t>
      </w:r>
    </w:p>
    <w:tbl>
      <w:tblPr>
        <w:tblW w:type="dxa" w:w="9360"/>
        <w:tblLook w:firstColumn="1" w:firstRow="1" w:lastColumn="0" w:lastRow="0" w:noHBand="0" w:noVBand="1" w:val="04A0"/>
        <w:tblInd w:w="120" w:type="dxa"/>
        <w:tblLayout w:type="fixed"/>
        <w:tblBorders>
          <w:top w:val="single" w:sz="4" w:space="0" w:color="D6E2EC"/>
          <w:left w:val="single" w:sz="4" w:space="0" w:color="D6E2EC"/>
          <w:bottom w:val="single" w:sz="4" w:space="0" w:color="D6E2EC"/>
          <w:right w:val="single" w:sz="4" w:space="0" w:color="D6E2EC"/>
          <w:insideH w:val="single" w:sz="4" w:space="0" w:color="D6E2EC"/>
          <w:insideV w:val="single" w:sz="4" w:space="0" w:color="D6E2EC"/>
        </w:tblBorders>
      </w:tblPr>
      <w:tblGrid>
        <w:gridCol w:w="2600"/>
        <w:gridCol w:w="6760"/>
      </w:tblGrid>
      <w:tr>
        <w:tc>
          <w:tcPr>
            <w:tcW w:type="dxa" w:w="2600"/>
            <w:tcMar>
              <w:top w:w="80" w:type="dxa"/>
              <w:bottom w:w="80" w:type="dxa"/>
              <w:start w:w="120" w:type="dxa"/>
              <w:end w:w="120" w:type="dxa"/>
            </w:tcMar>
            <w:vAlign w:val="center"/>
            <w:shd w:fill="0B7A75"/>
          </w:tcPr>
          <w:p>
            <w:r>
              <w:rPr>
                <w:rFonts w:ascii="Calibri" w:hAnsi="Calibri"/>
                <w:b/>
                <w:color w:val="FFFFFF"/>
                <w:sz w:val="19"/>
              </w:rPr>
              <w:t>Control</w:t>
            </w:r>
          </w:p>
        </w:tc>
        <w:tc>
          <w:tcPr>
            <w:tcW w:type="dxa" w:w="6760"/>
            <w:tcMar>
              <w:top w:w="80" w:type="dxa"/>
              <w:bottom w:w="80" w:type="dxa"/>
              <w:start w:w="120" w:type="dxa"/>
              <w:end w:w="120" w:type="dxa"/>
            </w:tcMar>
            <w:vAlign w:val="center"/>
            <w:shd w:fill="0B7A75"/>
          </w:tcPr>
          <w:p>
            <w:r>
              <w:rPr>
                <w:rFonts w:ascii="Calibri" w:hAnsi="Calibri"/>
                <w:b/>
                <w:color w:val="FFFFFF"/>
                <w:sz w:val="19"/>
              </w:rPr>
              <w:t>Implementation</w:t>
            </w:r>
          </w:p>
        </w:tc>
      </w:tr>
      <w:tr>
        <w:tc>
          <w:tcPr>
            <w:tcW w:type="dxa" w:w="2600"/>
            <w:tcMar>
              <w:top w:w="80" w:type="dxa"/>
              <w:bottom w:w="80" w:type="dxa"/>
              <w:start w:w="120" w:type="dxa"/>
              <w:end w:w="120" w:type="dxa"/>
            </w:tcMar>
            <w:vAlign w:val="center"/>
            <w:shd w:fill="F4FBFA"/>
          </w:tcPr>
          <w:p>
            <w:r>
              <w:rPr>
                <w:rFonts w:ascii="Calibri" w:hAnsi="Calibri"/>
                <w:b/>
                <w:color w:val="102033"/>
                <w:sz w:val="18"/>
              </w:rPr>
              <w:t>Input validation</w:t>
            </w:r>
          </w:p>
        </w:tc>
        <w:tc>
          <w:tcPr>
            <w:tcW w:type="dxa" w:w="6760"/>
            <w:tcMar>
              <w:top w:w="80" w:type="dxa"/>
              <w:bottom w:w="80" w:type="dxa"/>
              <w:start w:w="120" w:type="dxa"/>
              <w:end w:w="120" w:type="dxa"/>
            </w:tcMar>
            <w:vAlign w:val="center"/>
          </w:tcPr>
          <w:p>
            <w:r>
              <w:rPr>
                <w:rFonts w:ascii="Calibri" w:hAnsi="Calibri"/>
                <w:b w:val="0"/>
                <w:color w:val="102033"/>
                <w:sz w:val="18"/>
              </w:rPr>
              <w:t>Clinical notes are screened for prompt-injection language and capped at 2,000 characters.</w:t>
            </w:r>
          </w:p>
        </w:tc>
      </w:tr>
      <w:tr>
        <w:tc>
          <w:tcPr>
            <w:tcW w:type="dxa" w:w="2600"/>
            <w:tcMar>
              <w:top w:w="80" w:type="dxa"/>
              <w:bottom w:w="80" w:type="dxa"/>
              <w:start w:w="120" w:type="dxa"/>
              <w:end w:w="120" w:type="dxa"/>
            </w:tcMar>
            <w:vAlign w:val="center"/>
            <w:shd w:fill="F4FBFA"/>
          </w:tcPr>
          <w:p>
            <w:r>
              <w:rPr>
                <w:rFonts w:ascii="Calibri" w:hAnsi="Calibri"/>
                <w:b/>
                <w:color w:val="102033"/>
                <w:sz w:val="18"/>
              </w:rPr>
              <w:t>Prompt hardening</w:t>
            </w:r>
          </w:p>
        </w:tc>
        <w:tc>
          <w:tcPr>
            <w:tcW w:type="dxa" w:w="6760"/>
            <w:tcMar>
              <w:top w:w="80" w:type="dxa"/>
              <w:bottom w:w="80" w:type="dxa"/>
              <w:start w:w="120" w:type="dxa"/>
              <w:end w:w="120" w:type="dxa"/>
            </w:tcMar>
            <w:vAlign w:val="center"/>
          </w:tcPr>
          <w:p>
            <w:r>
              <w:rPr>
                <w:rFonts w:ascii="Calibri" w:hAnsi="Calibri"/>
                <w:b w:val="0"/>
                <w:color w:val="102033"/>
                <w:sz w:val="18"/>
              </w:rPr>
              <w:t>Every agent system prompt starts with a security notice that treats patient data as data only.</w:t>
            </w:r>
          </w:p>
        </w:tc>
      </w:tr>
      <w:tr>
        <w:tc>
          <w:tcPr>
            <w:tcW w:type="dxa" w:w="2600"/>
            <w:tcMar>
              <w:top w:w="80" w:type="dxa"/>
              <w:bottom w:w="80" w:type="dxa"/>
              <w:start w:w="120" w:type="dxa"/>
              <w:end w:w="120" w:type="dxa"/>
            </w:tcMar>
            <w:vAlign w:val="center"/>
            <w:shd w:fill="F4FBFA"/>
          </w:tcPr>
          <w:p>
            <w:r>
              <w:rPr>
                <w:rFonts w:ascii="Calibri" w:hAnsi="Calibri"/>
                <w:b/>
                <w:color w:val="102033"/>
                <w:sz w:val="18"/>
              </w:rPr>
              <w:t>Output validation</w:t>
            </w:r>
          </w:p>
        </w:tc>
        <w:tc>
          <w:tcPr>
            <w:tcW w:type="dxa" w:w="6760"/>
            <w:tcMar>
              <w:top w:w="80" w:type="dxa"/>
              <w:bottom w:w="80" w:type="dxa"/>
              <w:start w:w="120" w:type="dxa"/>
              <w:end w:w="120" w:type="dxa"/>
            </w:tcMar>
            <w:vAlign w:val="center"/>
          </w:tcPr>
          <w:p>
            <w:r>
              <w:rPr>
                <w:rFonts w:ascii="Calibri" w:hAnsi="Calibri"/>
                <w:b w:val="0"/>
                <w:color w:val="102033"/>
                <w:sz w:val="18"/>
              </w:rPr>
              <w:t>Agent responses must be valid JSON; invalid responses trigger one strict retry.</w:t>
            </w:r>
          </w:p>
        </w:tc>
      </w:tr>
      <w:tr>
        <w:tc>
          <w:tcPr>
            <w:tcW w:type="dxa" w:w="2600"/>
            <w:tcMar>
              <w:top w:w="80" w:type="dxa"/>
              <w:bottom w:w="80" w:type="dxa"/>
              <w:start w:w="120" w:type="dxa"/>
              <w:end w:w="120" w:type="dxa"/>
            </w:tcMar>
            <w:vAlign w:val="center"/>
            <w:shd w:fill="F4FBFA"/>
          </w:tcPr>
          <w:p>
            <w:r>
              <w:rPr>
                <w:rFonts w:ascii="Calibri" w:hAnsi="Calibri"/>
                <w:b/>
                <w:color w:val="102033"/>
                <w:sz w:val="18"/>
              </w:rPr>
              <w:t>Recommendation guardrail</w:t>
            </w:r>
          </w:p>
        </w:tc>
        <w:tc>
          <w:tcPr>
            <w:tcW w:type="dxa" w:w="6760"/>
            <w:tcMar>
              <w:top w:w="80" w:type="dxa"/>
              <w:bottom w:w="80" w:type="dxa"/>
              <w:start w:w="120" w:type="dxa"/>
              <w:end w:w="120" w:type="dxa"/>
            </w:tcMar>
            <w:vAlign w:val="center"/>
          </w:tcPr>
          <w:p>
            <w:r>
              <w:rPr>
                <w:rFonts w:ascii="Calibri" w:hAnsi="Calibri"/>
                <w:b w:val="0"/>
                <w:color w:val="102033"/>
                <w:sz w:val="18"/>
              </w:rPr>
              <w:t>A4 recommendations are constrained to accepted stewardship values; invalid values default to clinician_decision.</w:t>
            </w:r>
          </w:p>
        </w:tc>
      </w:tr>
      <w:tr>
        <w:tc>
          <w:tcPr>
            <w:tcW w:type="dxa" w:w="2600"/>
            <w:tcMar>
              <w:top w:w="80" w:type="dxa"/>
              <w:bottom w:w="80" w:type="dxa"/>
              <w:start w:w="120" w:type="dxa"/>
              <w:end w:w="120" w:type="dxa"/>
            </w:tcMar>
            <w:vAlign w:val="center"/>
            <w:shd w:fill="F4FBFA"/>
          </w:tcPr>
          <w:p>
            <w:r>
              <w:rPr>
                <w:rFonts w:ascii="Calibri" w:hAnsi="Calibri"/>
                <w:b/>
                <w:color w:val="102033"/>
                <w:sz w:val="18"/>
              </w:rPr>
              <w:t>Timeout protection</w:t>
            </w:r>
          </w:p>
        </w:tc>
        <w:tc>
          <w:tcPr>
            <w:tcW w:type="dxa" w:w="6760"/>
            <w:tcMar>
              <w:top w:w="80" w:type="dxa"/>
              <w:bottom w:w="80" w:type="dxa"/>
              <w:start w:w="120" w:type="dxa"/>
              <w:end w:w="120" w:type="dxa"/>
            </w:tcMar>
            <w:vAlign w:val="center"/>
          </w:tcPr>
          <w:p>
            <w:r>
              <w:rPr>
                <w:rFonts w:ascii="Calibri" w:hAnsi="Calibri"/>
                <w:b w:val="0"/>
                <w:color w:val="102033"/>
                <w:sz w:val="18"/>
              </w:rPr>
              <w:t>Each model call is bounded by a 45 second timeout to avoid stuck workflows.</w:t>
            </w:r>
          </w:p>
        </w:tc>
      </w:tr>
      <w:tr>
        <w:tc>
          <w:tcPr>
            <w:tcW w:type="dxa" w:w="2600"/>
            <w:tcMar>
              <w:top w:w="80" w:type="dxa"/>
              <w:bottom w:w="80" w:type="dxa"/>
              <w:start w:w="120" w:type="dxa"/>
              <w:end w:w="120" w:type="dxa"/>
            </w:tcMar>
            <w:vAlign w:val="center"/>
            <w:shd w:fill="F4FBFA"/>
          </w:tcPr>
          <w:p>
            <w:r>
              <w:rPr>
                <w:rFonts w:ascii="Calibri" w:hAnsi="Calibri"/>
                <w:b/>
                <w:color w:val="102033"/>
                <w:sz w:val="18"/>
              </w:rPr>
              <w:t>Observability</w:t>
            </w:r>
          </w:p>
        </w:tc>
        <w:tc>
          <w:tcPr>
            <w:tcW w:type="dxa" w:w="6760"/>
            <w:tcMar>
              <w:top w:w="80" w:type="dxa"/>
              <w:bottom w:w="80" w:type="dxa"/>
              <w:start w:w="120" w:type="dxa"/>
              <w:end w:w="120" w:type="dxa"/>
            </w:tcMar>
            <w:vAlign w:val="center"/>
          </w:tcPr>
          <w:p>
            <w:r>
              <w:rPr>
                <w:rFonts w:ascii="Calibri" w:hAnsi="Calibri"/>
                <w:b w:val="0"/>
                <w:color w:val="102033"/>
                <w:sz w:val="18"/>
              </w:rPr>
              <w:t>The report returns per-agent latency, token estimates, cost estimates, and model/provider metadata.</w:t>
            </w:r>
          </w:p>
        </w:tc>
      </w:tr>
      <w:tr>
        <w:tc>
          <w:tcPr>
            <w:tcW w:type="dxa" w:w="2600"/>
            <w:tcMar>
              <w:top w:w="80" w:type="dxa"/>
              <w:bottom w:w="80" w:type="dxa"/>
              <w:start w:w="120" w:type="dxa"/>
              <w:end w:w="120" w:type="dxa"/>
            </w:tcMar>
            <w:vAlign w:val="center"/>
            <w:shd w:fill="F4FBFA"/>
          </w:tcPr>
          <w:p>
            <w:r>
              <w:rPr>
                <w:rFonts w:ascii="Calibri" w:hAnsi="Calibri"/>
                <w:b/>
                <w:color w:val="102033"/>
                <w:sz w:val="18"/>
              </w:rPr>
              <w:t>Local key posture</w:t>
            </w:r>
          </w:p>
        </w:tc>
        <w:tc>
          <w:tcPr>
            <w:tcW w:type="dxa" w:w="6760"/>
            <w:tcMar>
              <w:top w:w="80" w:type="dxa"/>
              <w:bottom w:w="80" w:type="dxa"/>
              <w:start w:w="120" w:type="dxa"/>
              <w:end w:w="120" w:type="dxa"/>
            </w:tcMar>
            <w:vAlign w:val="center"/>
          </w:tcPr>
          <w:p>
            <w:r>
              <w:rPr>
                <w:rFonts w:ascii="Calibri" w:hAnsi="Calibri"/>
                <w:b w:val="0"/>
                <w:color w:val="102033"/>
                <w:sz w:val="18"/>
              </w:rPr>
              <w:t>Keys are not hardcoded, not stored in localStorage, and passed only to the local backend for the active session.</w:t>
            </w:r>
          </w:p>
        </w:tc>
      </w:tr>
    </w:tbl>
    <w:p>
      <w:pPr>
        <w:spacing w:before="0" w:after="80" w:line="264" w:lineRule="auto"/>
      </w:pPr>
    </w:p>
    <w:p>
      <w:pPr>
        <w:pStyle w:val="Heading1"/>
        <w:spacing w:before="320" w:after="160" w:line="264" w:lineRule="auto"/>
      </w:pPr>
      <w:r>
        <w:rPr>
          <w:rFonts w:ascii="Calibri" w:hAnsi="Calibri"/>
          <w:b/>
          <w:color w:val="2E7DD4"/>
          <w:sz w:val="32"/>
        </w:rPr>
        <w:t>Local Run Model</w:t>
      </w:r>
    </w:p>
    <w:p>
      <w:pPr>
        <w:spacing w:before="0" w:after="120" w:line="264" w:lineRule="auto"/>
      </w:pPr>
      <w:r>
        <w:rPr>
          <w:rFonts w:ascii="Calibri" w:hAnsi="Calibri"/>
          <w:b w:val="0"/>
          <w:i w:val="0"/>
          <w:color w:val="102033"/>
          <w:sz w:val="22"/>
        </w:rPr>
        <w:t>The intended local run command is executed from the project root and serves both the FastAPI API and the static UI.</w:t>
      </w:r>
    </w:p>
    <w:tbl>
      <w:tblPr>
        <w:tblW w:type="dxa" w:w="9360"/>
        <w:tblLook w:firstColumn="1" w:firstRow="1" w:lastColumn="0" w:lastRow="0" w:noHBand="0" w:noVBand="1" w:val="04A0"/>
        <w:tblInd w:w="120" w:type="dxa"/>
        <w:tblLayout w:type="fixed"/>
        <w:tblBorders>
          <w:top w:val="single" w:sz="6" w:space="0" w:color="2E7DD4"/>
          <w:left w:val="single" w:sz="6" w:space="0" w:color="2E7DD4"/>
          <w:bottom w:val="single" w:sz="6" w:space="0" w:color="2E7DD4"/>
          <w:right w:val="single" w:sz="6" w:space="0" w:color="2E7DD4"/>
          <w:insideH w:val="single" w:sz="6" w:space="0" w:color="2E7DD4"/>
          <w:insideV w:val="single" w:sz="6" w:space="0" w:color="2E7DD4"/>
        </w:tblBorders>
      </w:tblPr>
      <w:tblGrid>
        <w:gridCol w:w="9360"/>
      </w:tblGrid>
      <w:tr>
        <w:tc>
          <w:tcPr>
            <w:tcW w:type="dxa" w:w="9360"/>
            <w:tcMar>
              <w:top w:w="80" w:type="dxa"/>
              <w:bottom w:w="80" w:type="dxa"/>
              <w:start w:w="120" w:type="dxa"/>
              <w:end w:w="120" w:type="dxa"/>
            </w:tcMar>
            <w:vAlign w:val="center"/>
            <w:shd w:fill="F8FAFC"/>
          </w:tcPr>
          <w:p>
            <w:pPr>
              <w:spacing w:after="60"/>
            </w:pPr>
            <w:r>
              <w:rPr>
                <w:rFonts w:ascii="Calibri" w:hAnsi="Calibri"/>
                <w:b/>
                <w:color w:val="2E7DD4"/>
                <w:sz w:val="18"/>
              </w:rPr>
              <w:t>LOCAL COMMAND</w:t>
            </w:r>
          </w:p>
          <w:p>
            <w:pPr>
              <w:spacing w:after="0" w:line="264" w:lineRule="auto"/>
            </w:pPr>
            <w:r>
              <w:rPr>
                <w:rFonts w:ascii="Calibri" w:hAnsi="Calibri"/>
                <w:color w:val="102033"/>
                <w:sz w:val="21"/>
              </w:rPr>
              <w:t>cd /Users/fatih/Desktop/ThermoFischerGenAI</w:t>
              <w:br/>
              <w:t>python3 -m uvicorn main:app --host 0.0.0.0 --port 8000</w:t>
              <w:br/>
              <w:br/>
              <w:t>Then open Safari at http://localhost:8000/.</w:t>
            </w:r>
          </w:p>
        </w:tc>
      </w:tr>
    </w:tbl>
    <w:p>
      <w:pPr>
        <w:spacing w:before="0" w:after="80" w:line="264" w:lineRule="auto"/>
      </w:pPr>
    </w:p>
    <w:p>
      <w:pPr>
        <w:pStyle w:val="Heading2"/>
        <w:spacing w:before="240" w:after="120" w:line="264" w:lineRule="auto"/>
      </w:pPr>
      <w:r>
        <w:rPr>
          <w:rFonts w:ascii="Calibri" w:hAnsi="Calibri"/>
          <w:b/>
          <w:color w:val="2E7DD4"/>
          <w:sz w:val="26"/>
        </w:rPr>
        <w:t>Recommended Next Iterations</w:t>
      </w:r>
    </w:p>
    <w:tbl>
      <w:tblPr>
        <w:tblW w:type="dxa" w:w="9360"/>
        <w:tblLook w:firstColumn="1" w:firstRow="1" w:lastColumn="0" w:lastRow="0" w:noHBand="0" w:noVBand="1" w:val="04A0"/>
        <w:tblInd w:w="120" w:type="dxa"/>
        <w:tblLayout w:type="fixed"/>
        <w:tblBorders>
          <w:top w:val="single" w:sz="4" w:space="0" w:color="D6E2EC"/>
          <w:left w:val="single" w:sz="4" w:space="0" w:color="D6E2EC"/>
          <w:bottom w:val="single" w:sz="4" w:space="0" w:color="D6E2EC"/>
          <w:right w:val="single" w:sz="4" w:space="0" w:color="D6E2EC"/>
          <w:insideH w:val="single" w:sz="4" w:space="0" w:color="D6E2EC"/>
          <w:insideV w:val="single" w:sz="4" w:space="0" w:color="D6E2EC"/>
        </w:tblBorders>
      </w:tblPr>
      <w:tblGrid>
        <w:gridCol w:w="2300"/>
        <w:gridCol w:w="7060"/>
      </w:tblGrid>
      <w:tr>
        <w:tc>
          <w:tcPr>
            <w:tcW w:type="dxa" w:w="2300"/>
            <w:tcMar>
              <w:top w:w="80" w:type="dxa"/>
              <w:bottom w:w="80" w:type="dxa"/>
              <w:start w:w="120" w:type="dxa"/>
              <w:end w:w="120" w:type="dxa"/>
            </w:tcMar>
            <w:vAlign w:val="center"/>
            <w:shd w:fill="D6E8F7"/>
          </w:tcPr>
          <w:p>
            <w:r>
              <w:rPr>
                <w:rFonts w:ascii="Calibri" w:hAnsi="Calibri"/>
                <w:b/>
                <w:color w:val="0D2B55"/>
                <w:sz w:val="19"/>
              </w:rPr>
              <w:t>Future item</w:t>
            </w:r>
          </w:p>
        </w:tc>
        <w:tc>
          <w:tcPr>
            <w:tcW w:type="dxa" w:w="7060"/>
            <w:tcMar>
              <w:top w:w="80" w:type="dxa"/>
              <w:bottom w:w="80" w:type="dxa"/>
              <w:start w:w="120" w:type="dxa"/>
              <w:end w:w="120" w:type="dxa"/>
            </w:tcMar>
            <w:vAlign w:val="center"/>
            <w:shd w:fill="D6E8F7"/>
          </w:tcPr>
          <w:p>
            <w:r>
              <w:rPr>
                <w:rFonts w:ascii="Calibri" w:hAnsi="Calibri"/>
                <w:b/>
                <w:color w:val="0D2B55"/>
                <w:sz w:val="19"/>
              </w:rPr>
              <w:t>Rationale</w:t>
            </w:r>
          </w:p>
        </w:tc>
      </w:tr>
      <w:tr>
        <w:tc>
          <w:tcPr>
            <w:tcW w:type="dxa" w:w="2300"/>
            <w:tcMar>
              <w:top w:w="80" w:type="dxa"/>
              <w:bottom w:w="80" w:type="dxa"/>
              <w:start w:w="120" w:type="dxa"/>
              <w:end w:w="120" w:type="dxa"/>
            </w:tcMar>
            <w:vAlign w:val="center"/>
          </w:tcPr>
          <w:p>
            <w:r>
              <w:rPr>
                <w:rFonts w:ascii="Calibri" w:hAnsi="Calibri"/>
                <w:b/>
                <w:color w:val="102033"/>
                <w:sz w:val="18"/>
              </w:rPr>
              <w:t>Model picker</w:t>
            </w:r>
          </w:p>
        </w:tc>
        <w:tc>
          <w:tcPr>
            <w:tcW w:type="dxa" w:w="7060"/>
            <w:tcMar>
              <w:top w:w="80" w:type="dxa"/>
              <w:bottom w:w="80" w:type="dxa"/>
              <w:start w:w="120" w:type="dxa"/>
              <w:end w:w="120" w:type="dxa"/>
            </w:tcMar>
            <w:vAlign w:val="center"/>
          </w:tcPr>
          <w:p>
            <w:r>
              <w:rPr>
                <w:rFonts w:ascii="Calibri" w:hAnsi="Calibri"/>
                <w:b w:val="0"/>
                <w:color w:val="102033"/>
                <w:sz w:val="18"/>
              </w:rPr>
              <w:t>After provider detection, allow advanced users to choose a model from a short provider-specific list.</w:t>
            </w:r>
          </w:p>
        </w:tc>
      </w:tr>
      <w:tr>
        <w:tc>
          <w:tcPr>
            <w:tcW w:type="dxa" w:w="2300"/>
            <w:tcMar>
              <w:top w:w="80" w:type="dxa"/>
              <w:bottom w:w="80" w:type="dxa"/>
              <w:start w:w="120" w:type="dxa"/>
              <w:end w:w="120" w:type="dxa"/>
            </w:tcMar>
            <w:vAlign w:val="center"/>
          </w:tcPr>
          <w:p>
            <w:r>
              <w:rPr>
                <w:rFonts w:ascii="Calibri" w:hAnsi="Calibri"/>
                <w:b/>
                <w:color w:val="102033"/>
                <w:sz w:val="18"/>
              </w:rPr>
              <w:t>Session reset</w:t>
            </w:r>
          </w:p>
        </w:tc>
        <w:tc>
          <w:tcPr>
            <w:tcW w:type="dxa" w:w="7060"/>
            <w:tcMar>
              <w:top w:w="80" w:type="dxa"/>
              <w:bottom w:w="80" w:type="dxa"/>
              <w:start w:w="120" w:type="dxa"/>
              <w:end w:w="120" w:type="dxa"/>
            </w:tcMar>
            <w:vAlign w:val="center"/>
          </w:tcPr>
          <w:p>
            <w:r>
              <w:rPr>
                <w:rFonts w:ascii="Calibri" w:hAnsi="Calibri"/>
                <w:b w:val="0"/>
                <w:color w:val="102033"/>
                <w:sz w:val="18"/>
              </w:rPr>
              <w:t>Add a visible control to clear the active key and return to the locked state without refreshing.</w:t>
            </w:r>
          </w:p>
        </w:tc>
      </w:tr>
      <w:tr>
        <w:tc>
          <w:tcPr>
            <w:tcW w:type="dxa" w:w="2300"/>
            <w:tcMar>
              <w:top w:w="80" w:type="dxa"/>
              <w:bottom w:w="80" w:type="dxa"/>
              <w:start w:w="120" w:type="dxa"/>
              <w:end w:w="120" w:type="dxa"/>
            </w:tcMar>
            <w:vAlign w:val="center"/>
          </w:tcPr>
          <w:p>
            <w:r>
              <w:rPr>
                <w:rFonts w:ascii="Calibri" w:hAnsi="Calibri"/>
                <w:b/>
                <w:color w:val="102033"/>
                <w:sz w:val="18"/>
              </w:rPr>
              <w:t>Provider capability notes</w:t>
            </w:r>
          </w:p>
        </w:tc>
        <w:tc>
          <w:tcPr>
            <w:tcW w:type="dxa" w:w="7060"/>
            <w:tcMar>
              <w:top w:w="80" w:type="dxa"/>
              <w:bottom w:w="80" w:type="dxa"/>
              <w:start w:w="120" w:type="dxa"/>
              <w:end w:w="120" w:type="dxa"/>
            </w:tcMar>
            <w:vAlign w:val="center"/>
          </w:tcPr>
          <w:p>
            <w:r>
              <w:rPr>
                <w:rFonts w:ascii="Calibri" w:hAnsi="Calibri"/>
                <w:b w:val="0"/>
                <w:color w:val="102033"/>
                <w:sz w:val="18"/>
              </w:rPr>
              <w:t>Show warnings when a selected provider/model may have weak JSON-mode support or rate limits.</w:t>
            </w:r>
          </w:p>
        </w:tc>
      </w:tr>
      <w:tr>
        <w:tc>
          <w:tcPr>
            <w:tcW w:type="dxa" w:w="2300"/>
            <w:tcMar>
              <w:top w:w="80" w:type="dxa"/>
              <w:bottom w:w="80" w:type="dxa"/>
              <w:start w:w="120" w:type="dxa"/>
              <w:end w:w="120" w:type="dxa"/>
            </w:tcMar>
            <w:vAlign w:val="center"/>
          </w:tcPr>
          <w:p>
            <w:r>
              <w:rPr>
                <w:rFonts w:ascii="Calibri" w:hAnsi="Calibri"/>
                <w:b/>
                <w:color w:val="102033"/>
                <w:sz w:val="18"/>
              </w:rPr>
              <w:t>Audit export</w:t>
            </w:r>
          </w:p>
        </w:tc>
        <w:tc>
          <w:tcPr>
            <w:tcW w:type="dxa" w:w="7060"/>
            <w:tcMar>
              <w:top w:w="80" w:type="dxa"/>
              <w:bottom w:w="80" w:type="dxa"/>
              <w:start w:w="120" w:type="dxa"/>
              <w:end w:w="120" w:type="dxa"/>
            </w:tcMar>
            <w:vAlign w:val="center"/>
          </w:tcPr>
          <w:p>
            <w:r>
              <w:rPr>
                <w:rFonts w:ascii="Calibri" w:hAnsi="Calibri"/>
                <w:b w:val="0"/>
                <w:color w:val="102033"/>
                <w:sz w:val="18"/>
              </w:rPr>
              <w:t>Allow downloading the final report plus metadata as a PDF or DOCX clinical research artifact.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8099"/>
        <w:sz w:val="17"/>
      </w:rPr>
      <w:t>Research-only clinical decision support | Local model-key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B8099"/>
        <w:sz w:val="18"/>
      </w:rPr>
      <w:t>BrahmsAI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0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