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hapter-22-twelve-steps"/>
    <w:p>
      <w:pPr>
        <w:pStyle w:val="Heading1"/>
      </w:pPr>
      <w:r>
        <w:t xml:space="preserve">Chapter 22 — Twelve Steps</w:t>
      </w:r>
    </w:p>
    <w:p>
      <w:pPr>
        <w:pStyle w:val="FirstParagraph"/>
      </w:pPr>
      <w:r>
        <w:rPr>
          <w:bCs/>
          <w:b/>
        </w:rPr>
        <w:t xml:space="preserve">The Fitbit cleared the boyfriend. A cellphone handed over in a fender-bender</w:t>
      </w:r>
      <w:r>
        <w:rPr>
          <w:bCs/>
          <w:b/>
        </w:rPr>
        <w:t xml:space="preserve"> </w:t>
      </w:r>
      <w:r>
        <w:rPr>
          <w:bCs/>
          <w:b/>
        </w:rPr>
        <w:t xml:space="preserve">case buried the man who did it.</w:t>
      </w:r>
    </w:p>
    <w:p>
      <w:pPr>
        <w:pStyle w:val="BodyText"/>
      </w:pPr>
      <w:r>
        <w:t xml:space="preserve">When police find a woman murdered, they look first at the man she loved. It is</w:t>
      </w:r>
      <w:r>
        <w:t xml:space="preserve"> </w:t>
      </w:r>
      <w:r>
        <w:t xml:space="preserve">grim arithmetic, but it is arithmetic that usually works.</w:t>
      </w:r>
    </w:p>
    <w:p>
      <w:pPr>
        <w:pStyle w:val="BodyText"/>
      </w:pPr>
      <w:r>
        <w:t xml:space="preserve">On the night of May 20, 2016, Nicole VanderHeyden went to a bar near Green Bay,</w:t>
      </w:r>
      <w:r>
        <w:t xml:space="preserve"> </w:t>
      </w:r>
      <w:r>
        <w:t xml:space="preserve">Wisconsin, with her boyfriend, Douglass Detrie. They got separated. A phone</w:t>
      </w:r>
      <w:r>
        <w:t xml:space="preserve"> </w:t>
      </w:r>
      <w:r>
        <w:t xml:space="preserve">call and a string of text messages turned into an argument, and Detrie went</w:t>
      </w:r>
      <w:r>
        <w:t xml:space="preserve"> </w:t>
      </w:r>
      <w:r>
        <w:t xml:space="preserve">home alone to the house they shared.</w:t>
      </w:r>
    </w:p>
    <w:p>
      <w:pPr>
        <w:pStyle w:val="BodyText"/>
      </w:pPr>
      <w:r>
        <w:t xml:space="preserve">The next day, Nicole’s body was discovered next to a field. Her blood-stained</w:t>
      </w:r>
      <w:r>
        <w:t xml:space="preserve"> </w:t>
      </w:r>
      <w:r>
        <w:t xml:space="preserve">clothing turned up discarded along a freeway on-ramp. Some of her blood and</w:t>
      </w:r>
      <w:r>
        <w:t xml:space="preserve"> </w:t>
      </w:r>
      <w:r>
        <w:t xml:space="preserve">hair was found outside a neighbor’s house. The Brown County Sheriff’s Office</w:t>
      </w:r>
      <w:r>
        <w:t xml:space="preserve"> </w:t>
      </w:r>
      <w:r>
        <w:t xml:space="preserve">opened a homicide investigation, and the grim arithmetic did its work: Detrie —</w:t>
      </w:r>
      <w:r>
        <w:t xml:space="preserve"> </w:t>
      </w:r>
      <w:r>
        <w:t xml:space="preserve">the boyfriend, the argument, the last man with her — became the first suspect.</w:t>
      </w:r>
    </w:p>
    <w:p>
      <w:pPr>
        <w:pStyle w:val="BodyText"/>
      </w:pPr>
      <w:r>
        <w:t xml:space="preserve">Then investigators looked at his wrist.</w:t>
      </w:r>
    </w:p>
    <w:p>
      <w:pPr>
        <w:pStyle w:val="BodyText"/>
      </w:pPr>
      <w:r>
        <w:t xml:space="preserve">Detrie wore a Fitbit Flex, a small band that does nothing but count its</w:t>
      </w:r>
      <w:r>
        <w:t xml:space="preserve"> </w:t>
      </w:r>
      <w:r>
        <w:t xml:space="preserve">wearer’s steps, hour after hour, whether or not anyone ever asks. During the</w:t>
      </w:r>
      <w:r>
        <w:t xml:space="preserve"> </w:t>
      </w:r>
      <w:r>
        <w:t xml:space="preserve">hours of Nicole VanderHeyden’s death, Detrie’s Fitbit logged</w:t>
      </w:r>
      <w:r>
        <w:t xml:space="preserve"> </w:t>
      </w:r>
      <w:r>
        <w:rPr>
          <w:bCs/>
          <w:b/>
        </w:rPr>
        <w:t xml:space="preserve">twelve steps</w:t>
      </w:r>
      <w:r>
        <w:t xml:space="preserve">.</w:t>
      </w:r>
    </w:p>
    <w:p>
      <w:pPr>
        <w:pStyle w:val="BodyText"/>
      </w:pPr>
      <w:r>
        <w:t xml:space="preserve">Twelve steps is a man getting up for a glass of water. It is not a man beating</w:t>
      </w:r>
      <w:r>
        <w:t xml:space="preserve"> </w:t>
      </w:r>
      <w:r>
        <w:t xml:space="preserve">a woman, moving her body to a field, and scattering her clothes along a</w:t>
      </w:r>
      <w:r>
        <w:t xml:space="preserve"> </w:t>
      </w:r>
      <w:r>
        <w:t xml:space="preserve">freeway. The investigation turned away from Detrie — and for months, it had</w:t>
      </w:r>
      <w:r>
        <w:t xml:space="preserve"> </w:t>
      </w:r>
      <w:r>
        <w:t xml:space="preserve">nowhere else to go.</w:t>
      </w:r>
    </w:p>
    <w:bookmarkStart w:id="20" w:name="the-phone-in-the-evidence-locker"/>
    <w:p>
      <w:pPr>
        <w:pStyle w:val="Heading2"/>
      </w:pPr>
      <w:r>
        <w:t xml:space="preserve">The phone in the evidence locker</w:t>
      </w:r>
    </w:p>
    <w:p>
      <w:pPr>
        <w:pStyle w:val="FirstParagraph"/>
      </w:pPr>
      <w:r>
        <w:t xml:space="preserve">Here is where this case becomes something stranger and more instructive than</w:t>
      </w:r>
      <w:r>
        <w:t xml:space="preserve"> </w:t>
      </w:r>
      <w:r>
        <w:t xml:space="preserve">any episode of television: the killer had already given the police everything</w:t>
      </w:r>
      <w:r>
        <w:t xml:space="preserve"> </w:t>
      </w:r>
      <w:r>
        <w:t xml:space="preserve">they needed. Voluntarily. With a signed form.</w:t>
      </w:r>
    </w:p>
    <w:p>
      <w:pPr>
        <w:pStyle w:val="BodyText"/>
      </w:pPr>
      <w:r>
        <w:t xml:space="preserve">Three weeks after the murder, the Green Bay Police Department — a different</w:t>
      </w:r>
      <w:r>
        <w:t xml:space="preserve"> </w:t>
      </w:r>
      <w:r>
        <w:t xml:space="preserve">agency entirely — was investigating three minor incidents involving the same</w:t>
      </w:r>
      <w:r>
        <w:t xml:space="preserve"> </w:t>
      </w:r>
      <w:r>
        <w:t xml:space="preserve">vehicle: a stolen-vehicle report, a vehicle fire, and a hit-and-run. Their</w:t>
      </w:r>
      <w:r>
        <w:t xml:space="preserve"> </w:t>
      </w:r>
      <w:r>
        <w:t xml:space="preserve">suspect was a man named George Burch. An officer asked Burch if he could take</w:t>
      </w:r>
      <w:r>
        <w:t xml:space="preserve"> </w:t>
      </w:r>
      <w:r>
        <w:t xml:space="preserve">a look at the text messages on his phone to check his alibi. Burch agreed. The</w:t>
      </w:r>
      <w:r>
        <w:t xml:space="preserve"> </w:t>
      </w:r>
      <w:r>
        <w:t xml:space="preserve">officer explained it was easier to download the phone’s contents than to</w:t>
      </w:r>
      <w:r>
        <w:t xml:space="preserve"> </w:t>
      </w:r>
      <w:r>
        <w:t xml:space="preserve">photograph the screen, and Burch said that would be fine. He signed a consent</w:t>
      </w:r>
      <w:r>
        <w:t xml:space="preserve"> </w:t>
      </w:r>
      <w:r>
        <w:t xml:space="preserve">form: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I, George Stephen Burch . . . voluntarily give . . . permission to</w:t>
      </w:r>
      <w:r>
        <w:rPr>
          <w:iCs/>
          <w:i/>
        </w:rPr>
        <w:t xml:space="preserve"> </w:t>
      </w:r>
      <w:r>
        <w:rPr>
          <w:iCs/>
          <w:i/>
        </w:rPr>
        <w:t xml:space="preserve">search my . . . Samsung cellphone.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department’s forensic examiner did what forensic examiners do: a full</w:t>
      </w:r>
      <w:r>
        <w:t xml:space="preserve"> </w:t>
      </w:r>
      <w:r>
        <w:t xml:space="preserve">physical extraction of everything on the device, saved to long-term storage,</w:t>
      </w:r>
      <w:r>
        <w:t xml:space="preserve"> </w:t>
      </w:r>
      <w:r>
        <w:t xml:space="preserve">standard practice. Burch got his phone back. The file sat in the archive.</w:t>
      </w:r>
    </w:p>
    <w:p>
      <w:pPr>
        <w:pStyle w:val="BodyText"/>
      </w:pPr>
      <w:r>
        <w:t xml:space="preserve">Two months later, the Sheriff’s Office — still working the VanderHeyden</w:t>
      </w:r>
      <w:r>
        <w:t xml:space="preserve"> </w:t>
      </w:r>
      <w:r>
        <w:t xml:space="preserve">homicide — matched a DNA sample from Nicole’s sock to George Burch. When</w:t>
      </w:r>
      <w:r>
        <w:t xml:space="preserve"> </w:t>
      </w:r>
      <w:r>
        <w:t xml:space="preserve">detectives searched local records for prior police contact with him, they</w:t>
      </w:r>
      <w:r>
        <w:t xml:space="preserve"> </w:t>
      </w:r>
      <w:r>
        <w:t xml:space="preserve">found the Green Bay file: the consent form, and a complete copy of everything</w:t>
      </w:r>
      <w:r>
        <w:t xml:space="preserve"> </w:t>
      </w:r>
      <w:r>
        <w:t xml:space="preserve">that had been on his phone.</w:t>
      </w:r>
    </w:p>
    <w:p>
      <w:pPr>
        <w:pStyle w:val="BodyText"/>
      </w:pPr>
      <w:r>
        <w:t xml:space="preserve">What was on his phone was damning twice over. His internet history included</w:t>
      </w:r>
      <w:r>
        <w:t xml:space="preserve"> </w:t>
      </w:r>
      <w:r>
        <w:rPr>
          <w:bCs/>
          <w:b/>
        </w:rPr>
        <w:t xml:space="preserve">sixty-four viewings of news stories about Nicole VanderHeyden’s death</w:t>
      </w:r>
      <w:r>
        <w:t xml:space="preserve"> </w:t>
      </w:r>
      <w:r>
        <w:t xml:space="preserve">— a</w:t>
      </w:r>
      <w:r>
        <w:t xml:space="preserve"> </w:t>
      </w:r>
      <w:r>
        <w:t xml:space="preserve">man compulsively watching the coverage of a murder he claimed to know nothing</w:t>
      </w:r>
      <w:r>
        <w:t xml:space="preserve"> </w:t>
      </w:r>
      <w:r>
        <w:t xml:space="preserve">about. And the phone pointed to a Google account. With a warrant, detectives</w:t>
      </w:r>
      <w:r>
        <w:t xml:space="preserve"> </w:t>
      </w:r>
      <w:r>
        <w:t xml:space="preserve">obtained Burch’s</w:t>
      </w:r>
      <w:r>
        <w:t xml:space="preserve"> </w:t>
      </w:r>
      <w:r>
        <w:t xml:space="preserve">“</w:t>
      </w:r>
      <w:r>
        <w:t xml:space="preserve">Google Dashboard</w:t>
      </w:r>
      <w:r>
        <w:t xml:space="preserve">”</w:t>
      </w:r>
      <w:r>
        <w:t xml:space="preserve"> </w:t>
      </w:r>
      <w:r>
        <w:t xml:space="preserve">data, and Google’s location records placed</w:t>
      </w:r>
      <w:r>
        <w:t xml:space="preserve"> </w:t>
      </w:r>
      <w:r>
        <w:t xml:space="preserve">his phone at the bar Nicole visited that night, near her residence, at the</w:t>
      </w:r>
      <w:r>
        <w:t xml:space="preserve"> </w:t>
      </w:r>
      <w:r>
        <w:t xml:space="preserve">field where her body was found — and at the on-ramp where her bloody clothing</w:t>
      </w:r>
      <w:r>
        <w:t xml:space="preserve"> </w:t>
      </w:r>
      <w:r>
        <w:t xml:space="preserve">had been thrown from a vehicle.</w:t>
      </w:r>
    </w:p>
    <w:p>
      <w:pPr>
        <w:pStyle w:val="BodyText"/>
      </w:pPr>
      <w:r>
        <w:t xml:space="preserve">The phone had followed him through every stop of the crime, and then he had</w:t>
      </w:r>
      <w:r>
        <w:t xml:space="preserve"> </w:t>
      </w:r>
      <w:r>
        <w:t xml:space="preserve">handed it to a police officer over a fender-bender.</w:t>
      </w:r>
    </w:p>
    <w:bookmarkEnd w:id="20"/>
    <w:bookmarkStart w:id="21" w:name="the-story-he-told-the-jury"/>
    <w:p>
      <w:pPr>
        <w:pStyle w:val="Heading2"/>
      </w:pPr>
      <w:r>
        <w:t xml:space="preserve">The story he told the jury</w:t>
      </w:r>
    </w:p>
    <w:p>
      <w:pPr>
        <w:pStyle w:val="FirstParagraph"/>
      </w:pPr>
      <w:r>
        <w:t xml:space="preserve">At trial, Burch admitted he was with Nicole the night she died — he had to;</w:t>
      </w:r>
      <w:r>
        <w:t xml:space="preserve"> </w:t>
      </w:r>
      <w:r>
        <w:t xml:space="preserve">the data left him no choice. So he told the jury a story. They met at a bar,</w:t>
      </w:r>
      <w:r>
        <w:t xml:space="preserve"> </w:t>
      </w:r>
      <w:r>
        <w:t xml:space="preserve">he said, left together, parked near her house, became intimate. Then, he</w:t>
      </w:r>
      <w:r>
        <w:t xml:space="preserve"> </w:t>
      </w:r>
      <w:r>
        <w:t xml:space="preserve">claimed, he blacked out — and woke up on the ground with Nicole dead and</w:t>
      </w:r>
      <w:r>
        <w:t xml:space="preserve"> </w:t>
      </w:r>
      <w:r>
        <w:rPr>
          <w:iCs/>
          <w:i/>
        </w:rPr>
        <w:t xml:space="preserve">Detrie</w:t>
      </w:r>
      <w:r>
        <w:t xml:space="preserve"> </w:t>
      </w:r>
      <w:r>
        <w:t xml:space="preserve">standing over them with a gun. In Burch’s telling, the boyfriend</w:t>
      </w:r>
      <w:r>
        <w:t xml:space="preserve"> </w:t>
      </w:r>
      <w:r>
        <w:t xml:space="preserve">forced him at gunpoint to load Nicole’s body into his own vehicle, drive it to</w:t>
      </w:r>
      <w:r>
        <w:t xml:space="preserve"> </w:t>
      </w:r>
      <w:r>
        <w:t xml:space="preserve">the field, and carry her into the ditch. Only then did Burch heroically shove</w:t>
      </w:r>
      <w:r>
        <w:t xml:space="preserve"> </w:t>
      </w:r>
      <w:r>
        <w:t xml:space="preserve">Detrie, run to his vehicle, and escape — pausing, on the drive home, to throw</w:t>
      </w:r>
      <w:r>
        <w:t xml:space="preserve"> </w:t>
      </w:r>
      <w:r>
        <w:t xml:space="preserve">Nicole’s clothing out the window</w:t>
      </w:r>
      <w:r>
        <w:t xml:space="preserve"> </w:t>
      </w:r>
      <w:r>
        <w:t xml:space="preserve">“</w:t>
      </w:r>
      <w:r>
        <w:t xml:space="preserve">in a panic.</w:t>
      </w:r>
      <w:r>
        <w:t xml:space="preserve">”</w:t>
      </w:r>
    </w:p>
    <w:p>
      <w:pPr>
        <w:pStyle w:val="BodyText"/>
      </w:pPr>
      <w:r>
        <w:t xml:space="preserve">He had, of course, mentioned this to no one — not during the months police</w:t>
      </w:r>
      <w:r>
        <w:t xml:space="preserve"> </w:t>
      </w:r>
      <w:r>
        <w:t xml:space="preserve">publicly begged for tips, not to a single friend.</w:t>
      </w:r>
    </w:p>
    <w:p>
      <w:pPr>
        <w:pStyle w:val="BodyText"/>
      </w:pPr>
      <w:r>
        <w:t xml:space="preserve">The jury was asked to believe that the man whose Fitbit counted twelve steps</w:t>
      </w:r>
      <w:r>
        <w:t xml:space="preserve"> </w:t>
      </w:r>
      <w:r>
        <w:t xml:space="preserve">that night had orchestrated all of it. They deliberated and convicted George</w:t>
      </w:r>
      <w:r>
        <w:t xml:space="preserve"> </w:t>
      </w:r>
      <w:r>
        <w:t xml:space="preserve">Burch of first-degree intentional homicide. He was sentenced to life.</w:t>
      </w:r>
    </w:p>
    <w:bookmarkEnd w:id="21"/>
    <w:bookmarkStart w:id="22" w:name="what-the-appeal-decided"/>
    <w:p>
      <w:pPr>
        <w:pStyle w:val="Heading2"/>
      </w:pPr>
      <w:r>
        <w:t xml:space="preserve">What the appeal decided</w:t>
      </w:r>
    </w:p>
    <w:p>
      <w:pPr>
        <w:pStyle w:val="FirstParagraph"/>
      </w:pPr>
      <w:r>
        <w:t xml:space="preserve">Burch’s appeal reached the Wisconsin Supreme Court, and it is the reason this</w:t>
      </w:r>
      <w:r>
        <w:t xml:space="preserve"> </w:t>
      </w:r>
      <w:r>
        <w:t xml:space="preserve">case matters far beyond Green Bay. He argued the police had betrayed him twice:</w:t>
      </w:r>
      <w:r>
        <w:t xml:space="preserve"> </w:t>
      </w:r>
      <w:r>
        <w:t xml:space="preserve">first when Green Bay downloaded his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phone after he’d only discussed</w:t>
      </w:r>
      <w:r>
        <w:t xml:space="preserve"> </w:t>
      </w:r>
      <w:r>
        <w:t xml:space="preserve">text messages, and again when a different department mined that download,</w:t>
      </w:r>
      <w:r>
        <w:t xml:space="preserve"> </w:t>
      </w:r>
      <w:r>
        <w:t xml:space="preserve">months later, for a murder he’d never consented to being investigated for.</w:t>
      </w:r>
    </w:p>
    <w:p>
      <w:pPr>
        <w:pStyle w:val="BodyText"/>
      </w:pPr>
      <w:r>
        <w:t xml:space="preserve">The court was unmoved (June 29, 2021, in a decision with several separate</w:t>
      </w:r>
      <w:r>
        <w:t xml:space="preserve"> </w:t>
      </w:r>
      <w:r>
        <w:t xml:space="preserve">writings — the justices themselves disagreed about how far digital consent</w:t>
      </w:r>
      <w:r>
        <w:t xml:space="preserve"> </w:t>
      </w:r>
      <w:r>
        <w:t xml:space="preserve">should stretch). Burch had signed a form authorizing a search of his cellphone,</w:t>
      </w:r>
      <w:r>
        <w:t xml:space="preserve"> </w:t>
      </w:r>
      <w:r>
        <w:t xml:space="preserve">full stop; nothing in his conversation with the officer limited it to texts.</w:t>
      </w:r>
      <w:r>
        <w:t xml:space="preserve"> </w:t>
      </w:r>
      <w:r>
        <w:t xml:space="preserve">And once the data lawfully sat in police storage, one department sharing it</w:t>
      </w:r>
      <w:r>
        <w:t xml:space="preserve"> </w:t>
      </w:r>
      <w:r>
        <w:t xml:space="preserve">with another was, in the circuit court’s words, a common and long-understood</w:t>
      </w:r>
      <w:r>
        <w:t xml:space="preserve"> </w:t>
      </w:r>
      <w:r>
        <w:t xml:space="preserve">practice.</w:t>
      </w:r>
    </w:p>
    <w:p>
      <w:pPr>
        <w:pStyle w:val="BodyText"/>
      </w:pPr>
      <w:r>
        <w:t xml:space="preserve">The Fitbit ruling was quieter but just as consequential. Burch — in a mirror</w:t>
      </w:r>
      <w:r>
        <w:t xml:space="preserve"> </w:t>
      </w:r>
      <w:r>
        <w:t xml:space="preserve">image of the fight in</w:t>
      </w:r>
      <w:r>
        <w:t xml:space="preserve"> </w:t>
      </w:r>
      <w:r>
        <w:rPr>
          <w:iCs/>
          <w:i/>
        </w:rPr>
        <w:t xml:space="preserve">State v. Dabate</w:t>
      </w:r>
      <w:r>
        <w:t xml:space="preserve"> </w:t>
      </w:r>
      <w:r>
        <w:t xml:space="preserve">(Chapter 21) — demanded the State</w:t>
      </w:r>
      <w:r>
        <w:t xml:space="preserve"> </w:t>
      </w:r>
      <w:r>
        <w:t xml:space="preserve">produce an expert to prove the science of Detrie’s Fitbit before the twelve</w:t>
      </w:r>
      <w:r>
        <w:t xml:space="preserve"> </w:t>
      </w:r>
      <w:r>
        <w:t xml:space="preserve">steps could clear his rival. The court held the step-count records could come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expert testimony on the underlying technology. Where Connecticut</w:t>
      </w:r>
      <w:r>
        <w:t xml:space="preserve"> </w:t>
      </w:r>
      <w:r>
        <w:t xml:space="preserve">would put a Columbia professor on the stand to validate the device, Wisconsin</w:t>
      </w:r>
      <w:r>
        <w:t xml:space="preserve"> </w:t>
      </w:r>
      <w:r>
        <w:t xml:space="preserve">let the little band speak for itself.</w:t>
      </w:r>
    </w:p>
    <w:bookmarkEnd w:id="22"/>
    <w:bookmarkStart w:id="26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his own helpfulness. A murderer, three weeks clear of the</w:t>
      </w:r>
      <w:r>
        <w:t xml:space="preserve"> </w:t>
      </w:r>
      <w:r>
        <w:t xml:space="preserve">crime, signed a consent form in a trivial case to make himself look</w:t>
      </w:r>
      <w:r>
        <w:t xml:space="preserve"> </w:t>
      </w:r>
      <w:r>
        <w:t xml:space="preserve">cooperative — and handed police a complete map of the killing: his phone at</w:t>
      </w:r>
      <w:r>
        <w:t xml:space="preserve"> </w:t>
      </w:r>
      <w:r>
        <w:t xml:space="preserve">the bar, at her house, at the field, at the on-ramp, and sixty-four anxious</w:t>
      </w:r>
      <w:r>
        <w:t xml:space="preserve"> </w:t>
      </w:r>
      <w:r>
        <w:t xml:space="preserve">returns to the news coverage. Meanwhile, the man the arithmetic said should go</w:t>
      </w:r>
      <w:r>
        <w:t xml:space="preserve"> </w:t>
      </w:r>
      <w:r>
        <w:t xml:space="preserve">to prison was saved by a $99 wristband that had counted him fast asleep.</w:t>
      </w:r>
      <w:r>
        <w:t xml:space="preserve"> </w:t>
      </w:r>
      <w:r>
        <w:t xml:space="preserve">Twelve steps.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Burch</w:t>
      </w:r>
      <w:r>
        <w:t xml:space="preserve">, 2021 WI 68, 398 Wis. 2d 1,</w:t>
      </w:r>
      <w:r>
        <w:t xml:space="preserve"> </w:t>
      </w:r>
      <w:r>
        <w:t xml:space="preserve">961 N.W.2d 314, Wisconsin Supreme Court, decided June 29, 2021.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CourtListener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Justia</w:t>
        </w:r>
      </w:hyperlink>
      <w:r>
        <w:t xml:space="preserve"> </w:t>
      </w:r>
      <w:r>
        <w:t xml:space="preserve">· official PDF via</w:t>
      </w:r>
      <w:r>
        <w:t xml:space="preserve"> </w:t>
      </w:r>
      <w:hyperlink r:id="rId25">
        <w:r>
          <w:rPr>
            <w:rStyle w:val="Hyperlink"/>
          </w:rPr>
          <w:t xml:space="preserve">wicourts.gov</w:t>
        </w:r>
      </w:hyperlink>
      <w:r>
        <w:t xml:space="preserve">.</w:t>
      </w:r>
      <w:r>
        <w:t xml:space="preserve"> </w:t>
      </w:r>
      <w:r>
        <w:t xml:space="preserve">The facts are set out in the Background section; the cellphone-consent and</w:t>
      </w:r>
      <w:r>
        <w:t xml:space="preserve"> </w:t>
      </w:r>
      <w:r>
        <w:t xml:space="preserve">Fitbit rulings follow in the Discussion.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law.justia.com/cases/wisconsin/supreme-court/2021/2019ap001404-cr.html" TargetMode="External" /><Relationship Type="http://schemas.openxmlformats.org/officeDocument/2006/relationships/hyperlink" Id="rId23" Target="https://www.courtlistener.com/opinion/4896044/state-v-george-steven-burch/" TargetMode="External" /><Relationship Type="http://schemas.openxmlformats.org/officeDocument/2006/relationships/hyperlink" Id="rId25" Target="https://www.wicourts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law.justia.com/cases/wisconsin/supreme-court/2021/2019ap001404-cr.html" TargetMode="External" /><Relationship Type="http://schemas.openxmlformats.org/officeDocument/2006/relationships/hyperlink" Id="rId23" Target="https://www.courtlistener.com/opinion/4896044/state-v-george-steven-burch/" TargetMode="External" /><Relationship Type="http://schemas.openxmlformats.org/officeDocument/2006/relationships/hyperlink" Id="rId25" Target="https://www.wicourts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2026-07-02T12:28:25Z</dcterms:created>
  <dcterms:modified xsi:type="dcterms:W3CDTF">2026-07-02T12:28:25Z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