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how-not-to-get-away-with-murder"/>
    <w:p>
      <w:pPr>
        <w:pStyle w:val="Heading1"/>
      </w:pPr>
      <w:r>
        <w:t xml:space="preserve">HOW NOT TO GET AWAY WITH MURDER</w:t>
      </w:r>
    </w:p>
    <w:bookmarkStart w:id="20" w:name="X8ac853f0f3d8439614f86dd26ee5dd65ea84c6f"/>
    <w:p>
      <w:pPr>
        <w:pStyle w:val="Heading3"/>
      </w:pPr>
      <w:r>
        <w:t xml:space="preserve">True stories of the evidence that caught them — anchored to the court decisions that prove it</w:t>
      </w:r>
    </w:p>
    <w:p>
      <w:pPr>
        <w:pStyle w:val="FirstParagraph"/>
      </w:pPr>
      <w:r>
        <w:rPr>
          <w:iCs/>
          <w:i/>
        </w:rPr>
        <w:t xml:space="preserve">Working manuscript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Every chapter in this book is built on a real, published appellate court</w:t>
      </w:r>
      <w:r>
        <w:t xml:space="preserve"> </w:t>
      </w:r>
      <w:r>
        <w:t xml:space="preserve">decision — from the Supreme Court of Canada, the provincial Courts of Appeal,</w:t>
      </w:r>
      <w:r>
        <w:t xml:space="preserve"> </w:t>
      </w:r>
      <w:r>
        <w:t xml:space="preserve">the United States Supreme Court, and the American state high courts. The</w:t>
      </w:r>
      <w:r>
        <w:t xml:space="preserve"> </w:t>
      </w:r>
      <w:r>
        <w:t xml:space="preserve">storytelling is ours; the facts are the courts’. At the end of every chapter,</w:t>
      </w:r>
      <w:r>
        <w:t xml:space="preserve"> </w:t>
      </w:r>
      <w:r>
        <w:t xml:space="preserve">a citation and a free link let you read the decision yourself.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3" w:name="how-not-to-get-away-with-murder-1"/>
    <w:p>
      <w:pPr>
        <w:pStyle w:val="Heading1"/>
      </w:pPr>
      <w:r>
        <w:t xml:space="preserve">How Not to Get Away With Murder</w:t>
      </w:r>
    </w:p>
    <w:bookmarkStart w:id="23" w:name="Xd4cbb549e59c79505a09d42e3d951df4b7125d5"/>
    <w:p>
      <w:pPr>
        <w:pStyle w:val="Heading2"/>
      </w:pPr>
      <w:r>
        <w:t xml:space="preserve">Table of Contents</w:t>
      </w:r>
      <w:r>
        <w:t xml:space="preserve"> </w:t>
      </w:r>
      <w:r>
        <w:rPr>
          <w:iCs/>
          <w:i/>
        </w:rPr>
        <w:t xml:space="preserve">(working draft v2 — Canada + United States)</w:t>
      </w:r>
    </w:p>
    <w:p>
      <w:pPr>
        <w:pStyle w:val="BlockText"/>
      </w:pPr>
      <w:r>
        <w:t xml:space="preserve">Organized by the</w:t>
      </w:r>
      <w:r>
        <w:t xml:space="preserve"> </w:t>
      </w:r>
      <w:r>
        <w:rPr>
          <w:iCs/>
          <w:i/>
        </w:rPr>
        <w:t xml:space="preserve">kind of evidence</w:t>
      </w:r>
      <w:r>
        <w:t xml:space="preserve"> </w:t>
      </w:r>
      <w:r>
        <w:t xml:space="preserve">that caught them. Cases from both Canada</w:t>
      </w:r>
      <w:r>
        <w:t xml:space="preserve"> </w:t>
      </w:r>
      <w:r>
        <w:t xml:space="preserve">(🇨🇦, CanLII) and the United States (🇺🇸, Justia/CourtListener) sit side by side</w:t>
      </w:r>
      <w:r>
        <w:t xml:space="preserve"> </w:t>
      </w:r>
      <w:r>
        <w:t xml:space="preserve">within each forensic theme — because the science doesn’t stop at the border,</w:t>
      </w:r>
      <w:r>
        <w:t xml:space="preserve"> </w:t>
      </w:r>
      <w:r>
        <w:t xml:space="preserve">and the American cases are often the darker ones. Full citations, links, and</w:t>
      </w:r>
      <w:r>
        <w:t xml:space="preserve"> </w:t>
      </w:r>
      <w:r>
        <w:t xml:space="preserve">smoking-gun summaries are in</w:t>
      </w:r>
      <w:r>
        <w:t xml:space="preserve"> </w:t>
      </w:r>
      <w:r>
        <w:rPr>
          <w:rStyle w:val="VerbatimChar"/>
        </w:rPr>
        <w:t xml:space="preserve">case-index.md</w:t>
      </w:r>
      <w:r>
        <w:t xml:space="preserve"> </w:t>
      </w:r>
      <w:r>
        <w:t xml:space="preserve">(Canada) and</w:t>
      </w:r>
      <w:r>
        <w:t xml:space="preserve"> </w:t>
      </w:r>
      <w:r>
        <w:rPr>
          <w:rStyle w:val="VerbatimChar"/>
        </w:rPr>
        <w:t xml:space="preserve">us-case-index.md</w:t>
      </w:r>
      <w:r>
        <w:t xml:space="preserve"> </w:t>
      </w:r>
      <w:r>
        <w:t xml:space="preserve">(US); the download list is</w:t>
      </w:r>
      <w:r>
        <w:t xml:space="preserve"> </w:t>
      </w:r>
      <w:r>
        <w:rPr>
          <w:rStyle w:val="VerbatimChar"/>
        </w:rPr>
        <w:t xml:space="preserve">citation-worklist.md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Read it in any order.</w:t>
      </w:r>
      <w:r>
        <w:t xml:space="preserve"> </w:t>
      </w:r>
      <w:r>
        <w:t xml:space="preserve">Every chapter is a self-contained short story —</w:t>
      </w:r>
      <w:r>
        <w:t xml:space="preserve"> </w:t>
      </w:r>
      <w:r>
        <w:t xml:space="preserve">nothing depends on what came before. The parts are shelving, not sequence:</w:t>
      </w:r>
      <w:r>
        <w:t xml:space="preserve"> </w:t>
      </w:r>
      <w:r>
        <w:t xml:space="preserve">a menu for readers who want more of a particular flavor of evidence.</w:t>
      </w:r>
      <w:r>
        <w:t xml:space="preserve"> </w:t>
      </w:r>
      <w:r>
        <w:t xml:space="preserve">Cross-references between chapters are optional</w:t>
      </w:r>
      <w:r>
        <w:t xml:space="preserve"> </w:t>
      </w:r>
      <w:r>
        <w:t xml:space="preserve">“</w:t>
      </w:r>
      <w:r>
        <w:t xml:space="preserve">if you liked this one</w:t>
      </w:r>
      <w:r>
        <w:t xml:space="preserve">”</w:t>
      </w:r>
      <w:r>
        <w:t xml:space="preserve"> </w:t>
      </w:r>
      <w:r>
        <w:t xml:space="preserve">pointers, never homework.</w:t>
      </w:r>
    </w:p>
    <w:p>
      <w:r>
        <w:pict>
          <v:rect style="width:0;height:1.5pt" o:hralign="center" o:hrstd="t" o:hr="t"/>
        </w:pict>
      </w:r>
    </w:p>
    <w:bookmarkStart w:id="22" w:name="X6695b5a1d37eb10876d9f30da90915883270c2d"/>
    <w:p>
      <w:pPr>
        <w:pStyle w:val="Heading3"/>
      </w:pPr>
      <w:r>
        <w:t xml:space="preserve">Introduction — The Smoking Gun Is Rarely a Gun</w:t>
      </w:r>
    </w:p>
    <w:p>
      <w:pPr>
        <w:pStyle w:val="FirstParagraph"/>
      </w:pPr>
      <w:r>
        <w:t xml:space="preserve">Why killers get caught: not by one dramatic clue, but by the trail they can’t</w:t>
      </w:r>
      <w:r>
        <w:t xml:space="preserve"> </w:t>
      </w:r>
      <w:r>
        <w:t xml:space="preserve">stop leaving — in cell towers, on their own hands, in their search bars, on their</w:t>
      </w:r>
      <w:r>
        <w:t xml:space="preserve"> </w:t>
      </w:r>
      <w:r>
        <w:t xml:space="preserve">wrists, and in their own mouths. How to read this book; how to read a court</w:t>
      </w:r>
      <w:r>
        <w:t xml:space="preserve"> </w:t>
      </w:r>
      <w:r>
        <w:t xml:space="preserve">decision; and why we tell you the case name every time, so you can go check us.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i-what-the-body-kept"/>
    <w:p>
      <w:pPr>
        <w:pStyle w:val="Heading2"/>
      </w:pPr>
      <w:r>
        <w:t xml:space="preserve">PART I — WHAT THE BODY KEPT</w:t>
      </w:r>
    </w:p>
    <w:p>
      <w:pPr>
        <w:pStyle w:val="FirstParagraph"/>
      </w:pPr>
      <w:r>
        <w:rPr>
          <w:iCs/>
          <w:i/>
        </w:rPr>
        <w:t xml:space="preserve">DNA, genetic genealogy, trace evidence, and toxicology — the science of what a</w:t>
      </w:r>
      <w:r>
        <w:rPr>
          <w:iCs/>
          <w:i/>
        </w:rPr>
        <w:t xml:space="preserve"> </w:t>
      </w:r>
      <w:r>
        <w:rPr>
          <w:iCs/>
          <w:i/>
        </w:rPr>
        <w:t xml:space="preserve">victim’s body, and a killer’s, refuse to let 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Man Who Handed Police the Hair That Hanged Him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Arp</w:t>
      </w:r>
      <w:r>
        <w:t xml:space="preserve"> </w:t>
      </w:r>
      <w:r>
        <w:t xml:space="preserve">(SCC, 1998)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Novel Science, First Blood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Legere</w:t>
      </w:r>
      <w:r>
        <w:t xml:space="preserve"> </w:t>
      </w:r>
      <w:r>
        <w:t xml:space="preserve">(NB CA, 1994) — Canada’s first DNA murder conviction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Under Her Fingernails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Laliberté c. R.</w:t>
      </w:r>
      <w:r>
        <w:t xml:space="preserve"> </w:t>
      </w:r>
      <w:r>
        <w:t xml:space="preserve">(QC CA, 2015)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Maintenance Man’s Calling Card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Terceira</w:t>
      </w:r>
      <w:r>
        <w:t xml:space="preserve"> </w:t>
      </w:r>
      <w:r>
        <w:t xml:space="preserve">(ON CA/SCC, 1998–99) — fibres + hair + DNA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Coffee Cup and a Stranger’s Family Tree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Talbott</w:t>
      </w:r>
      <w:r>
        <w:t xml:space="preserve"> </w:t>
      </w:r>
      <w:r>
        <w:t xml:space="preserve">(Wash., 2022) — the first genetic-genealogy trial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Privacy in the DNA Your Cousins Share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Hartman</w:t>
      </w:r>
      <w:r>
        <w:t xml:space="preserve"> </w:t>
      </w:r>
      <w:r>
        <w:t xml:space="preserve">(Wash. Ct. App., 2023) — the technique upheld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Sidebar:</w:t>
      </w:r>
      <w:r>
        <w:t xml:space="preserve"> </w:t>
      </w:r>
      <w:r>
        <w:t xml:space="preserve">🇺🇸 the Golden State Killer (DeAngelo) — the cold case that launched it all (no appeal)</w:t>
      </w:r>
    </w:p>
    <w:p>
      <w:pPr>
        <w:numPr>
          <w:ilvl w:val="1"/>
          <w:numId w:val="1002"/>
        </w:numPr>
        <w:pStyle w:val="Compact"/>
      </w:pPr>
      <w:r>
        <w:rPr>
          <w:iCs/>
          <w:i/>
        </w:rPr>
        <w:t xml:space="preserve">Also in this thread: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People v. Vaultz</w:t>
      </w:r>
      <w:r>
        <w:t xml:space="preserve"> </w:t>
      </w:r>
      <w:r>
        <w:t xml:space="preserve">(Cal., 2024) and the G063674 constitutionality ruling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Carpet in His Bedroom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Williams v. State</w:t>
      </w:r>
      <w:r>
        <w:t xml:space="preserve"> </w:t>
      </w:r>
      <w:r>
        <w:t xml:space="preserve">(Ga., 1983) — the Atlanta Child Murders fibre case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Sweet Taste of Antifreeze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Turner v. State</w:t>
      </w:r>
      <w:r>
        <w:t xml:space="preserve"> </w:t>
      </w:r>
      <w:r>
        <w:t xml:space="preserve">(Ga., 2007) — two men, years apart, one poisoner</w:t>
      </w:r>
    </w:p>
    <w:bookmarkEnd w:id="24"/>
    <w:bookmarkStart w:id="25" w:name="part-ii-the-phone-in-your-pocket"/>
    <w:p>
      <w:pPr>
        <w:pStyle w:val="Heading2"/>
      </w:pPr>
      <w:r>
        <w:t xml:space="preserve">PART II — THE PHONE IN YOUR POCKET</w:t>
      </w:r>
    </w:p>
    <w:p>
      <w:pPr>
        <w:pStyle w:val="FirstParagraph"/>
      </w:pPr>
      <w:r>
        <w:rPr>
          <w:iCs/>
          <w:i/>
        </w:rPr>
        <w:t xml:space="preserve">Cell-tower pings, GPS, geotags, and licence-plate readers — the machines that</w:t>
      </w:r>
      <w:r>
        <w:rPr>
          <w:iCs/>
          <w:i/>
        </w:rPr>
        <w:t xml:space="preserve"> </w:t>
      </w:r>
      <w:r>
        <w:rPr>
          <w:iCs/>
          <w:i/>
        </w:rPr>
        <w:t xml:space="preserve">log where you were.</w:t>
      </w:r>
    </w:p>
    <w:p>
      <w:pPr>
        <w:pStyle w:val="BlockText"/>
      </w:pPr>
      <w:r>
        <w:rPr>
          <w:iCs/>
          <w:i/>
        </w:rPr>
        <w:t xml:space="preserve">Framing:</w:t>
      </w:r>
      <w:r>
        <w:t xml:space="preserve"> </w:t>
      </w:r>
      <w:r>
        <w:t xml:space="preserve">🇺🇸</w:t>
      </w:r>
      <w:r>
        <w:t xml:space="preserve"> </w:t>
      </w:r>
      <w:r>
        <w:rPr>
          <w:iCs/>
          <w:i/>
        </w:rPr>
        <w:t xml:space="preserve">Carpenter v. United States</w:t>
      </w:r>
      <w:r>
        <w:t xml:space="preserve"> </w:t>
      </w:r>
      <w:r>
        <w:t xml:space="preserve">(2018) and</w:t>
      </w:r>
      <w:r>
        <w:t xml:space="preserve"> </w:t>
      </w:r>
      <w:r>
        <w:rPr>
          <w:iCs/>
          <w:i/>
        </w:rPr>
        <w:t xml:space="preserve">United States v. Jones</w:t>
      </w:r>
      <w:r>
        <w:t xml:space="preserve"> </w:t>
      </w:r>
      <w:r>
        <w:t xml:space="preserve">(2012) — the two rulings that decided when the phone in your pocket needs a</w:t>
      </w:r>
      <w:r>
        <w:t xml:space="preserve"> </w:t>
      </w:r>
      <w:r>
        <w:t xml:space="preserve">warrant.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Two Phones, the Same Towers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(Tim Bosma) (ON CA, 2023)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 Murder With No Body, Solved by Where Three Phones Met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Millard</w:t>
      </w:r>
      <w:r>
        <w:t xml:space="preserve"> </w:t>
      </w:r>
      <w:r>
        <w:t xml:space="preserve">(Laura Babcock) (ON CA, 2023)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Never Rent a Getaway Car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 rented the getaway car under a fake name — and the fake name is exactly why the car’s testimony could never be thrown out.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Seven Hundred Thousand Records Behind a Smiling Daughter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Pan</w:t>
      </w:r>
      <w:r>
        <w:t xml:space="preserve"> </w:t>
      </w:r>
      <w:r>
        <w:t xml:space="preserve">(ON CA 2023 / SCC 2025) 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 Said He Went Fishing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People v. Peterson</w:t>
      </w:r>
      <w:r>
        <w:t xml:space="preserve"> </w:t>
      </w:r>
      <w:r>
        <w:t xml:space="preserve">(Scott Peterson) (Cal., 2020) — GPS to the exact patch of bay 🔶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Blind Photo From Inside a Pocket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Zielinski</w:t>
      </w:r>
      <w:r>
        <w:t xml:space="preserve"> </w:t>
      </w:r>
      <w:r>
        <w:t xml:space="preserve">(Minn., 2024) — an accidental geotag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Cameras on the Interstate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LaBranche</w:t>
      </w:r>
      <w:r>
        <w:t xml:space="preserve"> </w:t>
      </w:r>
      <w:r>
        <w:t xml:space="preserve">(La., 2025) — ALPR tracks the getaway car</w:t>
      </w:r>
    </w:p>
    <w:bookmarkEnd w:id="25"/>
    <w:bookmarkStart w:id="26" w:name="part-iii-what-you-typed-what-you-saved"/>
    <w:p>
      <w:pPr>
        <w:pStyle w:val="Heading2"/>
      </w:pPr>
      <w:r>
        <w:t xml:space="preserve">PART III — WHAT YOU TYPED, WHAT YOU SAVED</w:t>
      </w:r>
    </w:p>
    <w:p>
      <w:pPr>
        <w:pStyle w:val="FirstParagraph"/>
      </w:pPr>
      <w:r>
        <w:rPr>
          <w:iCs/>
          <w:i/>
        </w:rPr>
        <w:t xml:space="preserve">Search history, deleted files, chat logs — the confession you type when you</w:t>
      </w:r>
      <w:r>
        <w:rPr>
          <w:iCs/>
          <w:i/>
        </w:rPr>
        <w:t xml:space="preserve"> </w:t>
      </w:r>
      <w:r>
        <w:rPr>
          <w:iCs/>
          <w:i/>
        </w:rPr>
        <w:t xml:space="preserve">think no one’s reading.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Most Painful Torture</w:t>
      </w:r>
      <w:r>
        <w:rPr>
          <w:bCs/>
          <w:b/>
        </w:rPr>
        <w:t xml:space="preserve">”</w:t>
      </w:r>
      <w:r>
        <w:rPr>
          <w:bCs/>
          <w:b/>
        </w:rPr>
        <w:t xml:space="preserve">: The Hard Drive in the Wall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Garland</w:t>
      </w:r>
      <w:r>
        <w:t xml:space="preserve"> </w:t>
      </w:r>
      <w:r>
        <w:t xml:space="preserve">(AB CA, 2019)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When the Chat Log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Is</w:t>
      </w:r>
      <w:r>
        <w:rPr>
          <w:bCs/>
          <w:b/>
        </w:rPr>
        <w:t xml:space="preserve"> </w:t>
      </w:r>
      <w:r>
        <w:rPr>
          <w:bCs/>
          <w:b/>
        </w:rPr>
        <w:t xml:space="preserve">the Crime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Todorovic</w:t>
      </w:r>
      <w:r>
        <w:t xml:space="preserve"> </w:t>
      </w:r>
      <w:r>
        <w:t xml:space="preserve">(ON CA, 2014)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Text That Set the Meeting, the Camera That Caught the Exit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Sandeson</w:t>
      </w:r>
      <w:r>
        <w:t xml:space="preserve"> </w:t>
      </w:r>
      <w:r>
        <w:t xml:space="preserve">(NS CA, 2020)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 Murder Syllabus on the Family Computer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 </w:t>
      </w:r>
      <w:r>
        <w:t xml:space="preserve">(Wis., 2021) — botulism, mercury fulminate, antifreeze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He Googled Where a Bullet Won’t Kill You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Barber v. State</w:t>
      </w:r>
      <w:r>
        <w:t xml:space="preserve"> </w:t>
      </w:r>
      <w:r>
        <w:t xml:space="preserve">(Fla., 2009) — staging a beach shooting</w:t>
      </w:r>
    </w:p>
    <w:bookmarkEnd w:id="26"/>
    <w:bookmarkStart w:id="27" w:name="part-iv-the-device-that-watched-you"/>
    <w:p>
      <w:pPr>
        <w:pStyle w:val="Heading2"/>
      </w:pPr>
      <w:r>
        <w:t xml:space="preserve">PART IV — THE DEVICE THAT WATCHED YOU</w:t>
      </w:r>
    </w:p>
    <w:p>
      <w:pPr>
        <w:pStyle w:val="FirstParagraph"/>
      </w:pPr>
      <w:r>
        <w:rPr>
          <w:iCs/>
          <w:i/>
        </w:rPr>
        <w:t xml:space="preserve">Fitness trackers, smart speakers, pacemakers, and the black box in your car —</w:t>
      </w:r>
      <w:r>
        <w:rPr>
          <w:iCs/>
          <w:i/>
        </w:rPr>
        <w:t xml:space="preserve"> </w:t>
      </w:r>
      <w:r>
        <w:rPr>
          <w:iCs/>
          <w:i/>
        </w:rPr>
        <w:t xml:space="preserve">the witnesses you strap on and invite inside.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Don’t Murder a Woman Wearing a Fitbit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Her husband told police she was already dead. Her Fitbit kept counting.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Twelve Steps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 ✍️</w:t>
      </w:r>
      <w:r>
        <w:t xml:space="preserve"> </w:t>
      </w:r>
      <w:r>
        <w:rPr>
          <w:iCs/>
          <w:i/>
        </w:rPr>
        <w:t xml:space="preserve">drafted</w:t>
      </w:r>
      <w:r>
        <w:t xml:space="preserve"> </w:t>
      </w:r>
      <w:r>
        <w:rPr>
          <w:iCs/>
          <w:i/>
        </w:rPr>
        <w:t xml:space="preserve">Hook:</w:t>
      </w:r>
      <w:r>
        <w:t xml:space="preserve"> </w:t>
      </w:r>
      <w:r>
        <w:rPr>
          <w:bCs/>
          <w:b/>
        </w:rPr>
        <w:t xml:space="preserve">The Fitbit cleared the boyfriend. A cellphone handed over in a fender-bender case buried the man who did it.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Car That Almost Testified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Worsham</w:t>
      </w:r>
      <w:r>
        <w:t xml:space="preserve"> </w:t>
      </w:r>
      <w:r>
        <w:t xml:space="preserve">(Fla., 2017) 🔶 with</w:t>
      </w:r>
      <w:r>
        <w:t xml:space="preserve"> </w:t>
      </w:r>
      <w:r>
        <w:rPr>
          <w:iCs/>
          <w:i/>
        </w:rPr>
        <w:t xml:space="preserve">People v. Xinos</w:t>
      </w:r>
      <w:r>
        <w:t xml:space="preserve"> </w:t>
      </w:r>
      <w:r>
        <w:t xml:space="preserve">(Cal., 2011) 🔶 — the black-box privacy fight</w:t>
      </w:r>
    </w:p>
    <w:p>
      <w:pPr>
        <w:numPr>
          <w:ilvl w:val="1"/>
          <w:numId w:val="1006"/>
        </w:numPr>
        <w:pStyle w:val="Compact"/>
      </w:pPr>
      <w:r>
        <w:rPr>
          <w:iCs/>
          <w:i/>
        </w:rPr>
        <w:t xml:space="preserve">Sidebar — The Device That Almost Testified:</w:t>
      </w:r>
      <w:r>
        <w:t xml:space="preserve"> </w:t>
      </w:r>
      <w:r>
        <w:t xml:space="preserve">the Alexa cases (Bates, Crespo, Verrill), the Aiello Fitbit heartbeat, the Compton pacemaker — famous, but none convicted-on-appeal 🔶</w:t>
      </w:r>
    </w:p>
    <w:bookmarkEnd w:id="27"/>
    <w:bookmarkStart w:id="28" w:name="part-v-the-gun-and-the-residue"/>
    <w:p>
      <w:pPr>
        <w:pStyle w:val="Heading2"/>
      </w:pPr>
      <w:r>
        <w:t xml:space="preserve">PART V — THE GUN AND THE RESIDUE</w:t>
      </w:r>
    </w:p>
    <w:p>
      <w:pPr>
        <w:pStyle w:val="FirstParagraph"/>
      </w:pPr>
      <w:r>
        <w:rPr>
          <w:iCs/>
          <w:i/>
        </w:rPr>
        <w:t xml:space="preserve">Gunshot residue, ballistics, and toolmarks — what a fired weapon leaves behind.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Residue on His Hand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Stevenson</w:t>
      </w:r>
      <w:r>
        <w:t xml:space="preserve"> </w:t>
      </w:r>
      <w:r>
        <w:t xml:space="preserve">(ON CA, 2014)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Gun, But the Bullets Matched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F. (J.M.)</w:t>
      </w:r>
      <w:r>
        <w:t xml:space="preserve"> </w:t>
      </w:r>
      <w:r>
        <w:t xml:space="preserve">(MB CA, 2022)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Ballistics and the Wrong Man Killed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Mohamed</w:t>
      </w:r>
      <w:r>
        <w:t xml:space="preserve"> </w:t>
      </w:r>
      <w:r>
        <w:t xml:space="preserve">(ON CA, 2025)</w:t>
      </w:r>
    </w:p>
    <w:bookmarkEnd w:id="28"/>
    <w:bookmarkStart w:id="29" w:name="part-vi-the-staged-scene"/>
    <w:p>
      <w:pPr>
        <w:pStyle w:val="Heading2"/>
      </w:pPr>
      <w:r>
        <w:t xml:space="preserve">PART VI — THE STAGED SCENE</w:t>
      </w:r>
    </w:p>
    <w:p>
      <w:pPr>
        <w:pStyle w:val="FirstParagraph"/>
      </w:pPr>
      <w:r>
        <w:rPr>
          <w:iCs/>
          <w:i/>
        </w:rPr>
        <w:t xml:space="preserve">Bloodstain patterns, bullet trajectory, and the physics that exposes a scene</w:t>
      </w:r>
      <w:r>
        <w:rPr>
          <w:iCs/>
          <w:i/>
        </w:rPr>
        <w:t xml:space="preserve"> </w:t>
      </w:r>
      <w:r>
        <w:rPr>
          <w:iCs/>
          <w:i/>
        </w:rPr>
        <w:t xml:space="preserve">dressed up to lie.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Judge, the Pistol, and the Angle That Didn’t Add Up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Delisle c. R.</w:t>
      </w:r>
      <w:r>
        <w:t xml:space="preserve"> </w:t>
      </w:r>
      <w:r>
        <w:t xml:space="preserve">(QC CA,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Staged Break-In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Klymchuk</w:t>
      </w:r>
      <w:r>
        <w:t xml:space="preserve"> </w:t>
      </w:r>
      <w:r>
        <w:t xml:space="preserve">(ON CA, 2005/2008)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Blood on the Stairs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Peterson</w:t>
      </w:r>
      <w:r>
        <w:t xml:space="preserve"> </w:t>
      </w:r>
      <w:r>
        <w:t xml:space="preserve">(Michael Peterson,</w:t>
      </w:r>
      <w:r>
        <w:t xml:space="preserve"> </w:t>
      </w:r>
      <w:r>
        <w:t xml:space="preserve">“</w:t>
      </w:r>
      <w:r>
        <w:t xml:space="preserve">The Staircase</w:t>
      </w:r>
      <w:r>
        <w:t xml:space="preserve">”</w:t>
      </w:r>
      <w:r>
        <w:t xml:space="preserve">) (N.C., 2013) 🔶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Gun in the Dead Man’s Hand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Johnson v. State</w:t>
      </w:r>
      <w:r>
        <w:t xml:space="preserve"> </w:t>
      </w:r>
      <w:r>
        <w:t xml:space="preserve">(Tex., 2004) — no powder burns, no suicide</w:t>
      </w:r>
    </w:p>
    <w:bookmarkEnd w:id="29"/>
    <w:bookmarkStart w:id="30" w:name="part-vii-in-their-own-words"/>
    <w:p>
      <w:pPr>
        <w:pStyle w:val="Heading2"/>
      </w:pPr>
      <w:r>
        <w:t xml:space="preserve">PART VII — IN THEIR OWN WORDS</w:t>
      </w:r>
    </w:p>
    <w:p>
      <w:pPr>
        <w:pStyle w:val="FirstParagraph"/>
      </w:pPr>
      <w:r>
        <w:rPr>
          <w:iCs/>
          <w:i/>
        </w:rPr>
        <w:t xml:space="preserve">Confessions, undercover stings, wiretaps, and informants — the distinctively</w:t>
      </w:r>
      <w:r>
        <w:rPr>
          <w:iCs/>
          <w:i/>
        </w:rPr>
        <w:t xml:space="preserve"> </w:t>
      </w:r>
      <w:r>
        <w:rPr>
          <w:iCs/>
          <w:i/>
        </w:rPr>
        <w:t xml:space="preserve">Canadian art of getting a killer to talk.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Mr. Big: The Confession That Rewrote the Rules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Hart</w:t>
      </w:r>
      <w:r>
        <w:t xml:space="preserve"> </w:t>
      </w:r>
      <w:r>
        <w:t xml:space="preserve">(SCC, 2014)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When Mr. Big Holds Up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Mack</w:t>
      </w:r>
      <w:r>
        <w:t xml:space="preserve"> </w:t>
      </w:r>
      <w:r>
        <w:t xml:space="preserve">(SCC, 2014)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Fake Insurance Investigator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Kelly</w:t>
      </w:r>
      <w:r>
        <w:t xml:space="preserve"> </w:t>
      </w:r>
      <w:r>
        <w:t xml:space="preserve">(ON CA, 2017)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Sting That Went Too Far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Laflamme c. R.</w:t>
      </w:r>
      <w:r>
        <w:t xml:space="preserve"> </w:t>
      </w:r>
      <w:r>
        <w:t xml:space="preserve">(QC CA, 2015) 🔶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Tapped Phone and the Lure Call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Mapara</w:t>
      </w:r>
      <w:r>
        <w:t xml:space="preserve"> </w:t>
      </w:r>
      <w:r>
        <w:t xml:space="preserve">(SCC, 2005)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Word of Men Behind Bars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Brooks</w:t>
      </w:r>
      <w:r>
        <w:t xml:space="preserve"> </w:t>
      </w:r>
      <w:r>
        <w:t xml:space="preserve">(SCC, 2000)</w:t>
      </w:r>
    </w:p>
    <w:bookmarkEnd w:id="30"/>
    <w:bookmarkStart w:id="31" w:name="Xee8a3e9b4ed17f7532ab39afe0a6f8c27e1a71f"/>
    <w:p>
      <w:pPr>
        <w:pStyle w:val="Heading2"/>
      </w:pPr>
      <w:r>
        <w:t xml:space="preserve">PART VIII — WHEN THE SCIENCE LIES (AND WHEN IT SETS YOU FREE)</w:t>
      </w:r>
    </w:p>
    <w:p>
      <w:pPr>
        <w:pStyle w:val="FirstParagraph"/>
      </w:pPr>
      <w:r>
        <w:rPr>
          <w:iCs/>
          <w:i/>
        </w:rPr>
        <w:t xml:space="preserve">The dark counterpoint: forensic techniques that convicted the innocent — and the</w:t>
      </w:r>
      <w:r>
        <w:rPr>
          <w:iCs/>
          <w:i/>
        </w:rPr>
        <w:t xml:space="preserve"> </w:t>
      </w:r>
      <w:r>
        <w:rPr>
          <w:iCs/>
          <w:i/>
        </w:rPr>
        <w:t xml:space="preserve">science that later freed them. The reminder that evidence is only as honest as</w:t>
      </w:r>
      <w:r>
        <w:rPr>
          <w:iCs/>
          <w:i/>
        </w:rPr>
        <w:t xml:space="preserve"> </w:t>
      </w:r>
      <w:r>
        <w:rPr>
          <w:iCs/>
          <w:i/>
        </w:rPr>
        <w:t xml:space="preserve">the people wielding it.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Teeth That Caught Ted Bundy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Bundy v. State</w:t>
      </w:r>
      <w:r>
        <w:t xml:space="preserve"> </w:t>
      </w:r>
      <w:r>
        <w:t xml:space="preserve">(Fla., 1984) — bite marks at their most triumphant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Snaggletooth Exoneration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State v. Krone</w:t>
      </w:r>
      <w:r>
        <w:t xml:space="preserve"> </w:t>
      </w:r>
      <w:r>
        <w:t xml:space="preserve">(Ariz., 1995) 🔶 — the same science sends the wrong man to death row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Bite Marks, Formally Rejected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Howard v. State</w:t>
      </w:r>
      <w:r>
        <w:t xml:space="preserve"> </w:t>
      </w:r>
      <w:r>
        <w:t xml:space="preserve">(Miss., 2020) 🔶 — 26 years, then DNA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Flies That Never Came</w:t>
      </w:r>
      <w:r>
        <w:t xml:space="preserve"> </w:t>
      </w:r>
      <w:r>
        <w:t xml:space="preserve">— 🇺🇸</w:t>
      </w:r>
      <w:r>
        <w:t xml:space="preserve"> </w:t>
      </w:r>
      <w:r>
        <w:rPr>
          <w:iCs/>
          <w:i/>
        </w:rPr>
        <w:t xml:space="preserve">Lobato v. State</w:t>
      </w:r>
      <w:r>
        <w:t xml:space="preserve"> </w:t>
      </w:r>
      <w:r>
        <w:t xml:space="preserve">(Nev., 2004) 🔶 — entomology clears the innocent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Boy, the Flies, and Forty-Eight Years</w:t>
      </w:r>
      <w:r>
        <w:t xml:space="preserve"> </w:t>
      </w:r>
      <w:r>
        <w:t xml:space="preserve">— 🇨🇦</w:t>
      </w:r>
      <w:r>
        <w:t xml:space="preserve"> </w:t>
      </w:r>
      <w:r>
        <w:rPr>
          <w:iCs/>
          <w:i/>
        </w:rPr>
        <w:t xml:space="preserve">R. v. Truscott</w:t>
      </w:r>
      <w:r>
        <w:t xml:space="preserve"> </w:t>
      </w:r>
      <w:r>
        <w:t xml:space="preserve">(ON CA, 2007) 🔶 — the Canadian bookend</w:t>
      </w:r>
    </w:p>
    <w:p>
      <w:r>
        <w:pict>
          <v:rect style="width:0;height:1.5pt" o:hralign="center" o:hrstd="t" o:hr="t"/>
        </w:pict>
      </w:r>
    </w:p>
    <w:bookmarkEnd w:id="31"/>
    <w:bookmarkStart w:id="32" w:name="Xa52c047d5ca4c0c3d1f52e7756643f1a5fe6ea3"/>
    <w:p>
      <w:pPr>
        <w:pStyle w:val="Heading2"/>
      </w:pPr>
      <w:r>
        <w:t xml:space="preserve">APPENDIX — The Ones Without a Court of Appeal (Yet)</w:t>
      </w:r>
    </w:p>
    <w:p>
      <w:pPr>
        <w:pStyle w:val="FirstParagraph"/>
      </w:pPr>
      <w:r>
        <w:t xml:space="preserve">Techniques that have caught killers but lack a qualifying appellate decision —</w:t>
      </w:r>
      <w:r>
        <w:t xml:space="preserve"> </w:t>
      </w:r>
      <w:r>
        <w:t xml:space="preserve">plus leads to chase. See</w:t>
      </w:r>
      <w:r>
        <w:t xml:space="preserve"> </w:t>
      </w:r>
      <w:r>
        <w:rPr>
          <w:rStyle w:val="VerbatimChar"/>
        </w:rPr>
        <w:t xml:space="preserve">gaps-and-future-chapters.md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Legend: 🇨🇦 Canadian (CanLII) · 🇺🇸 American (Justia/CourtListener) · 🔶 contested,</w:t>
      </w:r>
      <w:r>
        <w:rPr>
          <w:iCs/>
          <w:i/>
        </w:rPr>
        <w:t xml:space="preserve"> </w:t>
      </w:r>
      <w:r>
        <w:rPr>
          <w:iCs/>
          <w:i/>
        </w:rPr>
        <w:t xml:space="preserve">reversed, suppressed, or inverted — a real story, told honestly. Verification</w:t>
      </w:r>
      <w:r>
        <w:rPr>
          <w:iCs/>
          <w:i/>
        </w:rPr>
        <w:t xml:space="preserve"> </w:t>
      </w:r>
      <w:r>
        <w:rPr>
          <w:iCs/>
          <w:i/>
        </w:rPr>
        <w:t xml:space="preserve">status per case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case-index.md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us-case-index.md</w:t>
      </w:r>
      <w:r>
        <w:rPr>
          <w:iCs/>
          <w:i/>
        </w:rPr>
        <w:t xml:space="preserve">; download list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citation-worklist.md</w:t>
      </w:r>
      <w:r>
        <w:rPr>
          <w:iCs/>
          <w:i/>
        </w:rPr>
        <w:t xml:space="preserve">.</w:t>
      </w:r>
    </w:p>
    <w:bookmarkEnd w:id="32"/>
    <w:bookmarkEnd w:id="33"/>
    <w:bookmarkStart w:id="39" w:name="chapter-11-never-rent-a-getaway-car"/>
    <w:p>
      <w:pPr>
        <w:pStyle w:val="Heading1"/>
      </w:pPr>
      <w:r>
        <w:t xml:space="preserve">Chapter 11 — Never Rent a Getaway Car</w:t>
      </w:r>
    </w:p>
    <w:p>
      <w:pPr>
        <w:pStyle w:val="FirstParagraph"/>
      </w:pPr>
      <w:r>
        <w:rPr>
          <w:bCs/>
          <w:b/>
        </w:rPr>
        <w:t xml:space="preserve">He rented the getaway car under a fake name — and the fake name is exactly</w:t>
      </w:r>
      <w:r>
        <w:rPr>
          <w:bCs/>
          <w:b/>
        </w:rPr>
        <w:t xml:space="preserve"> </w:t>
      </w:r>
      <w:r>
        <w:rPr>
          <w:bCs/>
          <w:b/>
        </w:rPr>
        <w:t xml:space="preserve">why the car’s testimony could never be thrown out.</w:t>
      </w:r>
    </w:p>
    <w:p>
      <w:pPr>
        <w:pStyle w:val="BodyText"/>
      </w:pPr>
      <w:r>
        <w:t xml:space="preserve">At 4:38 on the afternoon of March 1, 2016, Aly Sunderani stepped out of his</w:t>
      </w:r>
      <w:r>
        <w:t xml:space="preserve"> </w:t>
      </w:r>
      <w:r>
        <w:t xml:space="preserve">Range Rover under the carport of the Comfort Inn in Guelph, Ontario. He was the</w:t>
      </w:r>
      <w:r>
        <w:t xml:space="preserve"> </w:t>
      </w:r>
      <w:r>
        <w:t xml:space="preserve">hotel’s manager; this was his workplace; it was broad daylight.</w:t>
      </w:r>
    </w:p>
    <w:p>
      <w:pPr>
        <w:pStyle w:val="BodyText"/>
      </w:pPr>
      <w:r>
        <w:t xml:space="preserve">A gunman walked up to him and opened fire with a submachine gun. Sunderani</w:t>
      </w:r>
      <w:r>
        <w:t xml:space="preserve"> </w:t>
      </w:r>
      <w:r>
        <w:t xml:space="preserve">suffered thirty-one gunshot wounds — some from bullets that passed through him</w:t>
      </w:r>
      <w:r>
        <w:t xml:space="preserve"> </w:t>
      </w:r>
      <w:r>
        <w:t xml:space="preserve">and struck again — three of them in his heart. The shooter dropped the gun</w:t>
      </w:r>
      <w:r>
        <w:t xml:space="preserve"> </w:t>
      </w:r>
      <w:r>
        <w:t xml:space="preserve">beside the body, climbed into a waiting black Infiniti QX60, and was gone.</w:t>
      </w:r>
    </w:p>
    <w:p>
      <w:pPr>
        <w:pStyle w:val="BodyText"/>
      </w:pPr>
      <w:r>
        <w:t xml:space="preserve">No masked figure in the night. No hidden body. A public execution in front of a</w:t>
      </w:r>
      <w:r>
        <w:t xml:space="preserve"> </w:t>
      </w:r>
      <w:r>
        <w:t xml:space="preserve">hotel lobby, on camera. And yet the case that followed was entirely</w:t>
      </w:r>
      <w:r>
        <w:t xml:space="preserve"> </w:t>
      </w:r>
      <w:r>
        <w:t xml:space="preserve">circumstantial — because the one thing the cameras never captured was the</w:t>
      </w:r>
      <w:r>
        <w:t xml:space="preserve"> </w:t>
      </w:r>
      <w:r>
        <w:t xml:space="preserve">gunman’s face.</w:t>
      </w:r>
    </w:p>
    <w:p>
      <w:pPr>
        <w:pStyle w:val="BodyText"/>
      </w:pPr>
      <w:r>
        <w:t xml:space="preserve">What the Crown had instead, when Raja Dosanjh stood trial for first-degree</w:t>
      </w:r>
      <w:r>
        <w:t xml:space="preserve"> </w:t>
      </w:r>
      <w:r>
        <w:t xml:space="preserve">murder three years later, were four pillars. His DNA on the grip of the</w:t>
      </w:r>
      <w:r>
        <w:t xml:space="preserve"> </w:t>
      </w:r>
      <w:r>
        <w:t xml:space="preserve">submachine gun left at the scene — a mixed profile 3.7 million times more</w:t>
      </w:r>
      <w:r>
        <w:t xml:space="preserve"> </w:t>
      </w:r>
      <w:r>
        <w:t xml:space="preserve">likely to include him than not. The getaway QX60, rented from a Mississauga</w:t>
      </w:r>
      <w:r>
        <w:t xml:space="preserve"> </w:t>
      </w:r>
      <w:r>
        <w:t xml:space="preserve">agency just hours before the shooting by a man using the false name</w:t>
      </w:r>
      <w:r>
        <w:t xml:space="preserve"> </w:t>
      </w:r>
      <w:r>
        <w:t xml:space="preserve">“</w:t>
      </w:r>
      <w:r>
        <w:t xml:space="preserve">Jaspinder</w:t>
      </w:r>
      <w:r>
        <w:t xml:space="preserve"> </w:t>
      </w:r>
      <w:r>
        <w:t xml:space="preserve">Nagra</w:t>
      </w:r>
      <w:r>
        <w:t xml:space="preserve">”</w:t>
      </w:r>
      <w:r>
        <w:t xml:space="preserve"> </w:t>
      </w:r>
      <w:r>
        <w:t xml:space="preserve">— a man who was, undisputedly, Dosanjh. The rental agency’s cameras,</w:t>
      </w:r>
      <w:r>
        <w:t xml:space="preserve"> </w:t>
      </w:r>
      <w:r>
        <w:t xml:space="preserve">which caught that man’s pants, shirt, and shoes — the same clothing worn by the</w:t>
      </w:r>
      <w:r>
        <w:t xml:space="preserve"> </w:t>
      </w:r>
      <w:r>
        <w:t xml:space="preserve">gunman captured chest-down on the hotel’s video.</w:t>
      </w:r>
    </w:p>
    <w:p>
      <w:pPr>
        <w:pStyle w:val="BodyText"/>
      </w:pPr>
      <w:r>
        <w:t xml:space="preserve">And the fourth pillar: the car itself had been keeping a diary.</w:t>
      </w:r>
    </w:p>
    <w:bookmarkStart w:id="34" w:name="the-minute-by-minute-confession"/>
    <w:p>
      <w:pPr>
        <w:pStyle w:val="Heading2"/>
      </w:pPr>
      <w:r>
        <w:t xml:space="preserve">The minute-by-minute confession</w:t>
      </w:r>
    </w:p>
    <w:p>
      <w:pPr>
        <w:pStyle w:val="FirstParagraph"/>
      </w:pPr>
      <w:r>
        <w:t xml:space="preserve">The QX60 came equipped with an infotainment system — the touchscreen console</w:t>
      </w:r>
      <w:r>
        <w:t xml:space="preserve"> </w:t>
      </w:r>
      <w:r>
        <w:t xml:space="preserve">that runs the maps and the music — which, like most modern vehicles, quietly</w:t>
      </w:r>
      <w:r>
        <w:t xml:space="preserve"> </w:t>
      </w:r>
      <w:r>
        <w:t xml:space="preserve">and automatically logged everywhere the car went. When Ontario Provincial</w:t>
      </w:r>
      <w:r>
        <w:t xml:space="preserve"> </w:t>
      </w:r>
      <w:r>
        <w:t xml:space="preserve">Police forensic analysts extracted the tracklog, they could read the day of the</w:t>
      </w:r>
      <w:r>
        <w:t xml:space="preserve"> </w:t>
      </w:r>
      <w:r>
        <w:t xml:space="preserve">murder like an itinerary:</w:t>
      </w:r>
    </w:p>
    <w:p>
      <w:pPr>
        <w:pStyle w:val="BodyText"/>
      </w:pPr>
      <w:r>
        <w:rPr>
          <w:bCs/>
          <w:b/>
        </w:rPr>
        <w:t xml:space="preserve">1:16 p.m.</w:t>
      </w:r>
      <w:r>
        <w:t xml:space="preserve"> </w:t>
      </w:r>
      <w:r>
        <w:t xml:space="preserve">— the QX60 pulls out of the rental lot in Mississauga.</w:t>
      </w:r>
      <w:r>
        <w:t xml:space="preserve"> </w:t>
      </w:r>
      <w:r>
        <w:rPr>
          <w:bCs/>
          <w:b/>
        </w:rPr>
        <w:t xml:space="preserve">1:28 p.m.</w:t>
      </w:r>
      <w:r>
        <w:t xml:space="preserve"> </w:t>
      </w:r>
      <w:r>
        <w:t xml:space="preserve">— it arrives at the home of the parents of Dalvir Passi,</w:t>
      </w:r>
      <w:r>
        <w:t xml:space="preserve"> </w:t>
      </w:r>
      <w:r>
        <w:t xml:space="preserve">Dosanjh’s brother-in-law. It stays eleven minutes.</w:t>
      </w:r>
      <w:r>
        <w:t xml:space="preserve"> </w:t>
      </w:r>
      <w:r>
        <w:rPr>
          <w:bCs/>
          <w:b/>
        </w:rPr>
        <w:t xml:space="preserve">3:52 p.m.</w:t>
      </w:r>
      <w:r>
        <w:t xml:space="preserve"> </w:t>
      </w:r>
      <w:r>
        <w:t xml:space="preserve">— it enters the Comfort Inn parking lot in Guelph and parks</w:t>
      </w:r>
      <w:r>
        <w:t xml:space="preserve"> </w:t>
      </w:r>
      <w:r>
        <w:t xml:space="preserve">behind the hotel, where it sits for the better part of an hour.</w:t>
      </w:r>
      <w:r>
        <w:t xml:space="preserve"> </w:t>
      </w:r>
      <w:r>
        <w:rPr>
          <w:bCs/>
          <w:b/>
        </w:rPr>
        <w:t xml:space="preserve">4:38 p.m.</w:t>
      </w:r>
      <w:r>
        <w:t xml:space="preserve"> </w:t>
      </w:r>
      <w:r>
        <w:t xml:space="preserve">— the exact minute Aly Sunderani is shot — the QX60 moves to the</w:t>
      </w:r>
      <w:r>
        <w:t xml:space="preserve"> </w:t>
      </w:r>
      <w:r>
        <w:t xml:space="preserve">front of the hotel, then immediately drives away.</w:t>
      </w:r>
    </w:p>
    <w:p>
      <w:pPr>
        <w:pStyle w:val="BodyText"/>
      </w:pPr>
      <w:r>
        <w:t xml:space="preserve">From there the diary continues: back to the Passi parents’ home, then on to the</w:t>
      </w:r>
      <w:r>
        <w:t xml:space="preserve"> </w:t>
      </w:r>
      <w:r>
        <w:t xml:space="preserve">home of Dosanjh’s sister and brother-in-law. The hotel’s surveillance video</w:t>
      </w:r>
      <w:r>
        <w:t xml:space="preserve"> </w:t>
      </w:r>
      <w:r>
        <w:t xml:space="preserve">confirmed the tracklog’s account frame for frame.</w:t>
      </w:r>
    </w:p>
    <w:p>
      <w:pPr>
        <w:pStyle w:val="BodyText"/>
      </w:pPr>
      <w:r>
        <w:t xml:space="preserve">One more entry completed the portrait. The next evening, Dosanjh returned the</w:t>
      </w:r>
      <w:r>
        <w:t xml:space="preserve"> </w:t>
      </w:r>
      <w:r>
        <w:t xml:space="preserve">QX60 to the rental agency — and asked his brother-in-law to pick him up not at</w:t>
      </w:r>
      <w:r>
        <w:t xml:space="preserve"> </w:t>
      </w:r>
      <w:r>
        <w:t xml:space="preserve">the agency, but waiting in a gas-station parking lot across a busy street. A</w:t>
      </w:r>
      <w:r>
        <w:t xml:space="preserve"> </w:t>
      </w:r>
      <w:r>
        <w:t xml:space="preserve">small, careful separation between himself and the car. The kind of detail a</w:t>
      </w:r>
      <w:r>
        <w:t xml:space="preserve"> </w:t>
      </w:r>
      <w:r>
        <w:t xml:space="preserve">man arranges when he knows exactly what the car has been part of.</w:t>
      </w:r>
    </w:p>
    <w:bookmarkEnd w:id="34"/>
    <w:bookmarkStart w:id="35" w:name="the-two-bald-men"/>
    <w:p>
      <w:pPr>
        <w:pStyle w:val="Heading2"/>
      </w:pPr>
      <w:r>
        <w:t xml:space="preserve">The two bald men</w:t>
      </w:r>
    </w:p>
    <w:p>
      <w:pPr>
        <w:pStyle w:val="FirstParagraph"/>
      </w:pPr>
      <w:r>
        <w:t xml:space="preserve">The defence answered with an alternate suspect story, delivered by the</w:t>
      </w:r>
      <w:r>
        <w:t xml:space="preserve"> </w:t>
      </w:r>
      <w:r>
        <w:t xml:space="preserve">brother-in-law himself. Passi testified that after the rental, two tall, white,</w:t>
      </w:r>
      <w:r>
        <w:t xml:space="preserve"> </w:t>
      </w:r>
      <w:r>
        <w:t xml:space="preserve">bald or balding strangers — men he had never seen before — arrived at his</w:t>
      </w:r>
      <w:r>
        <w:t xml:space="preserve"> </w:t>
      </w:r>
      <w:r>
        <w:t xml:space="preserve">parents’ home, borrowed the QX60 from Dosanjh to complete a drug transaction,</w:t>
      </w:r>
      <w:r>
        <w:t xml:space="preserve"> </w:t>
      </w:r>
      <w:r>
        <w:t xml:space="preserve">and brought it back later that day. While the Infiniti was allegedly off</w:t>
      </w:r>
      <w:r>
        <w:t xml:space="preserve"> </w:t>
      </w:r>
      <w:r>
        <w:t xml:space="preserve">murdering a hotel manager, Passi and Dosanjh were, he said, playing video</w:t>
      </w:r>
      <w:r>
        <w:t xml:space="preserve"> </w:t>
      </w:r>
      <w:r>
        <w:t xml:space="preserve">games.</w:t>
      </w:r>
    </w:p>
    <w:p>
      <w:pPr>
        <w:pStyle w:val="BodyText"/>
      </w:pPr>
      <w:r>
        <w:t xml:space="preserve">The story had one genuine asset: the Comfort Inn’s front-desk manager, who</w:t>
      </w:r>
      <w:r>
        <w:t xml:space="preserve"> </w:t>
      </w:r>
      <w:r>
        <w:t xml:space="preserve">watched the shooting through the lobby window, described the gunman as fair,</w:t>
      </w:r>
      <w:r>
        <w:t xml:space="preserve"> </w:t>
      </w:r>
      <w:r>
        <w:t xml:space="preserve">white-complexioned, with</w:t>
      </w:r>
      <w:r>
        <w:t xml:space="preserve"> </w:t>
      </w:r>
      <w:r>
        <w:t xml:space="preserve">“</w:t>
      </w:r>
      <w:r>
        <w:t xml:space="preserve">less hairs on his head.</w:t>
      </w:r>
      <w:r>
        <w:t xml:space="preserve">”</w:t>
      </w:r>
      <w:r>
        <w:t xml:space="preserve"> </w:t>
      </w:r>
      <w:r>
        <w:t xml:space="preserve">Dosanjh’s own lawyer</w:t>
      </w:r>
      <w:r>
        <w:t xml:space="preserve"> </w:t>
      </w:r>
      <w:r>
        <w:t xml:space="preserve">described his client as a tall, brown-skinned young man with a full head of</w:t>
      </w:r>
      <w:r>
        <w:t xml:space="preserve"> </w:t>
      </w:r>
      <w:r>
        <w:t xml:space="preserve">dark hair. Two other eyewitnesses pointed the other way.</w:t>
      </w:r>
    </w:p>
    <w:p>
      <w:pPr>
        <w:pStyle w:val="BodyText"/>
      </w:pPr>
      <w:r>
        <w:t xml:space="preserve">The jury weighed the bald strangers against the DNA on the gun grip, the</w:t>
      </w:r>
      <w:r>
        <w:t xml:space="preserve"> </w:t>
      </w:r>
      <w:r>
        <w:t xml:space="preserve">clothing on two videotapes, and a tracklog that put the car Dosanjh rented at</w:t>
      </w:r>
      <w:r>
        <w:t xml:space="preserve"> </w:t>
      </w:r>
      <w:r>
        <w:t xml:space="preserve">the murder scene at the killing minute. On August 1, 2019, it convicted him of</w:t>
      </w:r>
      <w:r>
        <w:t xml:space="preserve"> </w:t>
      </w:r>
      <w:r>
        <w:t xml:space="preserve">first-degree murder.</w:t>
      </w:r>
    </w:p>
    <w:bookmarkEnd w:id="35"/>
    <w:bookmarkStart w:id="36" w:name="the-trap-inside-the-fake-name"/>
    <w:p>
      <w:pPr>
        <w:pStyle w:val="Heading2"/>
      </w:pPr>
      <w:r>
        <w:t xml:space="preserve">The trap inside the fake name</w:t>
      </w:r>
    </w:p>
    <w:p>
      <w:pPr>
        <w:pStyle w:val="FirstParagraph"/>
      </w:pPr>
      <w:r>
        <w:t xml:space="preserve">On appeal, Dosanjh’s lawyers went after the diary. The police, they argued,</w:t>
      </w:r>
      <w:r>
        <w:t xml:space="preserve"> </w:t>
      </w:r>
      <w:r>
        <w:t xml:space="preserve">had searched the infotainment system unlawfully — rummaging through GPS data</w:t>
      </w:r>
      <w:r>
        <w:t xml:space="preserve"> </w:t>
      </w:r>
      <w:r>
        <w:t xml:space="preserve">that revealed his movements, a</w:t>
      </w:r>
      <w:r>
        <w:t xml:space="preserve"> </w:t>
      </w:r>
      <w:r>
        <w:t xml:space="preserve">“</w:t>
      </w:r>
      <w:r>
        <w:t xml:space="preserve">biographical core</w:t>
      </w:r>
      <w:r>
        <w:t xml:space="preserve">”</w:t>
      </w:r>
      <w:r>
        <w:t xml:space="preserve"> </w:t>
      </w:r>
      <w:r>
        <w:t xml:space="preserve">of personal information</w:t>
      </w:r>
      <w:r>
        <w:t xml:space="preserve"> </w:t>
      </w:r>
      <w:r>
        <w:t xml:space="preserve">protected by section 8 of the Charter. If the search was unconstitutional, the</w:t>
      </w:r>
      <w:r>
        <w:t xml:space="preserve"> </w:t>
      </w:r>
      <w:r>
        <w:t xml:space="preserve">tracklog could be excluded, and the fourth pillar would fall.</w:t>
      </w:r>
    </w:p>
    <w:p>
      <w:pPr>
        <w:pStyle w:val="BodyText"/>
      </w:pPr>
      <w:r>
        <w:t xml:space="preserve">The Court of Appeal for Ontario’s answer, delivered by Associate Chief Justice</w:t>
      </w:r>
      <w:r>
        <w:t xml:space="preserve"> </w:t>
      </w:r>
      <w:r>
        <w:t xml:space="preserve">Fairburn in October 2022, is the dark joke at the heart of this chapter.</w:t>
      </w:r>
      <w:r>
        <w:t xml:space="preserve"> </w:t>
      </w:r>
      <w:r>
        <w:t xml:space="preserve">Privacy claims belong to people with a legitimate connection to the thing</w:t>
      </w:r>
      <w:r>
        <w:t xml:space="preserve"> </w:t>
      </w:r>
      <w:r>
        <w:t xml:space="preserve">searched — through ownership, control, a right to be where they were. Dosanjh’s</w:t>
      </w:r>
      <w:r>
        <w:t xml:space="preserve"> </w:t>
      </w:r>
      <w:r>
        <w:t xml:space="preserve">connection to the QX60 was a rental contract signed in the name of a man who</w:t>
      </w:r>
      <w:r>
        <w:t xml:space="preserve"> </w:t>
      </w:r>
      <w:r>
        <w:t xml:space="preserve">did not exist. The GPS data, the court noted, came from a vehicle he had</w:t>
      </w:r>
      <w:r>
        <w:t xml:space="preserve"> </w:t>
      </w:r>
      <w:r>
        <w:t xml:space="preserve">“</w:t>
      </w:r>
      <w:r>
        <w:t xml:space="preserve">no</w:t>
      </w:r>
      <w:r>
        <w:t xml:space="preserve"> </w:t>
      </w:r>
      <w:r>
        <w:t xml:space="preserve">right to be driving</w:t>
      </w:r>
      <w:r>
        <w:t xml:space="preserve">”</w:t>
      </w:r>
      <w:r>
        <w:t xml:space="preserve">; the synced contact list wasn’t even his phone’s. Tracking</w:t>
      </w:r>
      <w:r>
        <w:t xml:space="preserve"> </w:t>
      </w:r>
      <w:r>
        <w:t xml:space="preserve">data, the court added, sits far down the privacy spectrum to begin with — it</w:t>
      </w:r>
      <w:r>
        <w:t xml:space="preserve"> </w:t>
      </w:r>
      <w:r>
        <w:t xml:space="preserve">reveals where a car went, not the contents of a mind. He had no reasonable</w:t>
      </w:r>
      <w:r>
        <w:t xml:space="preserve"> </w:t>
      </w:r>
      <w:r>
        <w:t xml:space="preserve">expectation of privacy, and therefore no standing to complain; and even if the</w:t>
      </w:r>
      <w:r>
        <w:t xml:space="preserve"> </w:t>
      </w:r>
      <w:r>
        <w:t xml:space="preserve">search had breached the Charter, the evidence was reliable, the breach minimal,</w:t>
      </w:r>
      <w:r>
        <w:t xml:space="preserve"> </w:t>
      </w:r>
      <w:r>
        <w:t xml:space="preserve">and it would have been admitted anyway.</w:t>
      </w:r>
    </w:p>
    <w:p>
      <w:pPr>
        <w:pStyle w:val="BodyText"/>
      </w:pPr>
      <w:r>
        <w:t xml:space="preserve">The fake name was supposed to make the car untraceable to him. Instead it made</w:t>
      </w:r>
      <w:r>
        <w:t xml:space="preserve"> </w:t>
      </w:r>
      <w:r>
        <w:t xml:space="preserve">the car’s memory untouchable by him. He had disowned the Infiniti so</w:t>
      </w:r>
      <w:r>
        <w:t xml:space="preserve"> </w:t>
      </w:r>
      <w:r>
        <w:t xml:space="preserve">thoroughly that when it testified, he had no legal voice to object.</w:t>
      </w:r>
    </w:p>
    <w:p>
      <w:pPr>
        <w:pStyle w:val="BodyText"/>
      </w:pPr>
      <w:r>
        <w:t xml:space="preserve">The appeal was dismissed.</w:t>
      </w:r>
    </w:p>
    <w:bookmarkEnd w:id="36"/>
    <w:bookmarkStart w:id="38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planned everything except the passenger seat. The false identity, the</w:t>
      </w:r>
      <w:r>
        <w:t xml:space="preserve"> </w:t>
      </w:r>
      <w:r>
        <w:t xml:space="preserve">borrowed-strangers story, the gas station across the street — all of it was</w:t>
      </w:r>
      <w:r>
        <w:t xml:space="preserve"> </w:t>
      </w:r>
      <w:r>
        <w:t xml:space="preserve">built to keep Raja Dosanjh’s name off the getaway car. But the car didn’t need</w:t>
      </w:r>
      <w:r>
        <w:t xml:space="preserve"> </w:t>
      </w:r>
      <w:r>
        <w:t xml:space="preserve">his name. It logged the rental lot, the family home, the hotel, and the murder</w:t>
      </w:r>
      <w:r>
        <w:t xml:space="preserve"> </w:t>
      </w:r>
      <w:r>
        <w:t xml:space="preserve">minute all on its own, his DNA rode the gun grip, and the same cameras that</w:t>
      </w:r>
      <w:r>
        <w:t xml:space="preserve"> </w:t>
      </w:r>
      <w:r>
        <w:t xml:space="preserve">never saw his face remembered his shoes. The modern getaway car is the worst</w:t>
      </w:r>
      <w:r>
        <w:t xml:space="preserve"> </w:t>
      </w:r>
      <w:r>
        <w:t xml:space="preserve">accomplice in crime: it goes everywhere you go, remembers everything, and owes</w:t>
      </w:r>
      <w:r>
        <w:t xml:space="preserve"> </w:t>
      </w:r>
      <w:r>
        <w:t xml:space="preserve">you nothing — especially if you were never really its driver.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Dosanjh</w:t>
      </w:r>
      <w:r>
        <w:t xml:space="preserve">, 2022 ONCA 689, Court of</w:t>
      </w:r>
      <w:r>
        <w:t xml:space="preserve"> </w:t>
      </w:r>
      <w:r>
        <w:t xml:space="preserve">Appeal for Ontario, decided October 7, 2022.</w:t>
      </w:r>
      <w:r>
        <w:t xml:space="preserve"> </w:t>
      </w:r>
      <w:r>
        <w:t xml:space="preserve">Free online:</w:t>
      </w:r>
      <w:r>
        <w:t xml:space="preserve"> </w:t>
      </w:r>
      <w:hyperlink r:id="rId37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factual matrix is set out in the Overview and Factual Context; the</w:t>
      </w:r>
      <w:r>
        <w:t xml:space="preserve"> </w:t>
      </w:r>
      <w:r>
        <w:t xml:space="preserve">infotainment/GPS privacy analysis begins at the section on the search of the</w:t>
      </w:r>
      <w:r>
        <w:t xml:space="preserve"> </w:t>
      </w:r>
      <w:r>
        <w:t xml:space="preserve">getaway vehicle.</w:t>
      </w:r>
    </w:p>
    <w:bookmarkEnd w:id="38"/>
    <w:bookmarkEnd w:id="39"/>
    <w:bookmarkStart w:id="46" w:name="X9203c5d96f35499ac85be75e6ac11cd798292f8"/>
    <w:p>
      <w:pPr>
        <w:pStyle w:val="Heading1"/>
      </w:pPr>
      <w:r>
        <w:t xml:space="preserve">Chapter 21 — Don’t Murder a Woman Wearing a Fitbit</w:t>
      </w:r>
    </w:p>
    <w:p>
      <w:pPr>
        <w:pStyle w:val="FirstParagraph"/>
      </w:pPr>
      <w:r>
        <w:rPr>
          <w:bCs/>
          <w:b/>
        </w:rPr>
        <w:t xml:space="preserve">Her husband told police she was already dead. Her Fitbit kept counting.</w:t>
      </w:r>
    </w:p>
    <w:p>
      <w:pPr>
        <w:pStyle w:val="BodyText"/>
      </w:pPr>
      <w:r>
        <w:t xml:space="preserve">Two days before Christmas 2015, Richard Dabate had a story ready.</w:t>
      </w:r>
    </w:p>
    <w:p>
      <w:pPr>
        <w:pStyle w:val="BodyText"/>
      </w:pPr>
      <w:r>
        <w:t xml:space="preserve">A man in camouflage, he told Connecticut State Police, had been hiding inside</w:t>
      </w:r>
      <w:r>
        <w:t xml:space="preserve"> </w:t>
      </w:r>
      <w:r>
        <w:t xml:space="preserve">his Ellington home. The intruder chased his wife Connie into the basement and</w:t>
      </w:r>
      <w:r>
        <w:t xml:space="preserve"> </w:t>
      </w:r>
      <w:r>
        <w:t xml:space="preserve">shot her with the Dabates’ own gun. Then he turned on Richard — zip-tied him to</w:t>
      </w:r>
      <w:r>
        <w:t xml:space="preserve"> </w:t>
      </w:r>
      <w:r>
        <w:t xml:space="preserve">a folding chair, cut him with a box cutter, burned him with a blowtorch — until</w:t>
      </w:r>
      <w:r>
        <w:t xml:space="preserve"> </w:t>
      </w:r>
      <w:r>
        <w:t xml:space="preserve">Richard heroically shoved the torch back toward the man’s face and drove him</w:t>
      </w:r>
      <w:r>
        <w:t xml:space="preserve"> </w:t>
      </w:r>
      <w:r>
        <w:t xml:space="preserve">off. Bleeding, bound, he triggered the home’s panic alarm and called 911.</w:t>
      </w:r>
    </w:p>
    <w:p>
      <w:pPr>
        <w:pStyle w:val="BodyText"/>
      </w:pPr>
      <w:r>
        <w:t xml:space="preserve">When officers arrived they found Connie’s body in the basement. They found the</w:t>
      </w:r>
      <w:r>
        <w:t xml:space="preserve"> </w:t>
      </w:r>
      <w:r>
        <w:t xml:space="preserve">gun. They found a butane torch, a box cutter, burnt debris, droplets of blood.</w:t>
      </w:r>
    </w:p>
    <w:p>
      <w:pPr>
        <w:pStyle w:val="BodyText"/>
      </w:pPr>
      <w:r>
        <w:t xml:space="preserve">They found, in other words, exactly the scene Richard had described.</w:t>
      </w:r>
    </w:p>
    <w:p>
      <w:pPr>
        <w:pStyle w:val="BodyText"/>
      </w:pPr>
      <w:r>
        <w:t xml:space="preserve">The problem was everything the scene couldn’t say — and one device that could.</w:t>
      </w:r>
    </w:p>
    <w:bookmarkStart w:id="40" w:name="X7b11d94e34298c01d860c15ea739cb0dfca6508"/>
    <w:p>
      <w:pPr>
        <w:pStyle w:val="Heading2"/>
      </w:pPr>
      <w:r>
        <w:t xml:space="preserve">The morning, as the machines remembered it</w:t>
      </w:r>
    </w:p>
    <w:p>
      <w:pPr>
        <w:pStyle w:val="FirstParagraph"/>
      </w:pPr>
      <w:r>
        <w:t xml:space="preserve">Here is the morning of December 23, 2015, as the jury ultimately found it — not</w:t>
      </w:r>
      <w:r>
        <w:t xml:space="preserve"> </w:t>
      </w:r>
      <w:r>
        <w:t xml:space="preserve">from any witness, but from the electronic wake the household left behind.</w:t>
      </w:r>
    </w:p>
    <w:p>
      <w:pPr>
        <w:pStyle w:val="BodyText"/>
      </w:pPr>
      <w:r>
        <w:t xml:space="preserve">Connie Dabate left for the gym at 8:46 a.m. Her class was cancelled, so she came</w:t>
      </w:r>
      <w:r>
        <w:t xml:space="preserve"> </w:t>
      </w:r>
      <w:r>
        <w:t xml:space="preserve">home at 9:18. She talked to her mother on the phone. She posted on Facebook. She</w:t>
      </w:r>
      <w:r>
        <w:t xml:space="preserve"> </w:t>
      </w:r>
      <w:r>
        <w:t xml:space="preserve">messaged a friend. An ordinary woman, running an ordinary errand, two days</w:t>
      </w:r>
      <w:r>
        <w:t xml:space="preserve"> </w:t>
      </w:r>
      <w:r>
        <w:t xml:space="preserve">before Christmas.</w:t>
      </w:r>
    </w:p>
    <w:p>
      <w:pPr>
        <w:pStyle w:val="BodyText"/>
      </w:pPr>
      <w:r>
        <w:t xml:space="preserve">Richard never left the house. In those same quiet morning hours, the home’s own</w:t>
      </w:r>
      <w:r>
        <w:t xml:space="preserve"> </w:t>
      </w:r>
      <w:r>
        <w:t xml:space="preserve">records caught him opening the basement door</w:t>
      </w:r>
      <w:r>
        <w:t xml:space="preserve"> </w:t>
      </w:r>
      <w:r>
        <w:rPr>
          <w:iCs/>
          <w:i/>
        </w:rPr>
        <w:t xml:space="preserve">eight times</w:t>
      </w:r>
      <w:r>
        <w:t xml:space="preserve">. Arming and</w:t>
      </w:r>
      <w:r>
        <w:t xml:space="preserve"> </w:t>
      </w:r>
      <w:r>
        <w:t xml:space="preserve">disarming the security system, again and again. At some point he walked outside</w:t>
      </w:r>
      <w:r>
        <w:t xml:space="preserve"> </w:t>
      </w:r>
      <w:r>
        <w:t xml:space="preserve">and placed his own wallet near the basement bulkhead stairs — set dressing for</w:t>
      </w:r>
      <w:r>
        <w:t xml:space="preserve"> </w:t>
      </w:r>
      <w:r>
        <w:t xml:space="preserve">the burglary to come. In between, he answered work emails and played music on</w:t>
      </w:r>
      <w:r>
        <w:t xml:space="preserve"> </w:t>
      </w:r>
      <w:r>
        <w:t xml:space="preserve">his phone. When he heard Connie come home earlier than he expected, he did</w:t>
      </w:r>
      <w:r>
        <w:t xml:space="preserve"> </w:t>
      </w:r>
      <w:r>
        <w:t xml:space="preserve">something almost unbearably mundane: he checked the gym schedule.</w:t>
      </w:r>
    </w:p>
    <w:p>
      <w:pPr>
        <w:pStyle w:val="BodyText"/>
      </w:pPr>
      <w:r>
        <w:t xml:space="preserve">At 10:05 a.m., he lured his wife down to the basement and shot her with a</w:t>
      </w:r>
      <w:r>
        <w:t xml:space="preserve"> </w:t>
      </w:r>
      <w:r>
        <w:t xml:space="preserve">pistol the couple had bought only two months earlier.</w:t>
      </w:r>
    </w:p>
    <w:p>
      <w:pPr>
        <w:pStyle w:val="BodyText"/>
      </w:pPr>
      <w:r>
        <w:t xml:space="preserve">We can put a time on it because Connie was wearing a Fitbit One clipped to her</w:t>
      </w:r>
      <w:r>
        <w:t xml:space="preserve"> </w:t>
      </w:r>
      <w:r>
        <w:t xml:space="preserve">hip — a device that does exactly one thing, tirelessly: it counts its wearer’s</w:t>
      </w:r>
      <w:r>
        <w:t xml:space="preserve"> </w:t>
      </w:r>
      <w:r>
        <w:t xml:space="preserve">steps, minute by minute. At 10:05 a.m., it stopped.</w:t>
      </w:r>
    </w:p>
    <w:bookmarkEnd w:id="40"/>
    <w:bookmarkStart w:id="41" w:name="Xe67b992d38f8a0f7b4654d7ff9a0bd5ed378ef7"/>
    <w:p>
      <w:pPr>
        <w:pStyle w:val="Heading2"/>
      </w:pPr>
      <w:r>
        <w:t xml:space="preserve">The story that couldn’t survive its own timeline</w:t>
      </w:r>
    </w:p>
    <w:p>
      <w:pPr>
        <w:pStyle w:val="FirstParagraph"/>
      </w:pPr>
      <w:r>
        <w:t xml:space="preserve">Richard’s account put a masked killer in the house while Connie fled for her</w:t>
      </w:r>
      <w:r>
        <w:t xml:space="preserve"> </w:t>
      </w:r>
      <w:r>
        <w:t xml:space="preserve">life. But her Fitbit — together with her Facebook activity — showed the jury</w:t>
      </w:r>
      <w:r>
        <w:t xml:space="preserve"> </w:t>
      </w:r>
      <w:r>
        <w:t xml:space="preserve">something devastating: Connie was alive, moving, posting, messaging,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the point where Richard’s story needed her to be dead. As the Connecticut</w:t>
      </w:r>
      <w:r>
        <w:t xml:space="preserve"> </w:t>
      </w:r>
      <w:r>
        <w:t xml:space="preserve">Supreme Court later put it, the electronic evidence</w:t>
      </w:r>
      <w:r>
        <w:t xml:space="preserve"> </w:t>
      </w:r>
      <w:r>
        <w:t xml:space="preserve">“</w:t>
      </w:r>
      <w:r>
        <w:t xml:space="preserve">demonstrated to the jury</w:t>
      </w:r>
      <w:r>
        <w:t xml:space="preserve"> </w:t>
      </w:r>
      <w:r>
        <w:t xml:space="preserve">that the victim was alive at the time that the defendant claimed that she had</w:t>
      </w:r>
      <w:r>
        <w:t xml:space="preserve"> </w:t>
      </w:r>
      <w:r>
        <w:t xml:space="preserve">been murdered by a third party.</w:t>
      </w:r>
      <w:r>
        <w:t xml:space="preserve">”</w:t>
      </w:r>
    </w:p>
    <w:p>
      <w:pPr>
        <w:pStyle w:val="BodyText"/>
      </w:pPr>
      <w:r>
        <w:t xml:space="preserve">The rest of the case fell in behind the timeline like iron filings behind a</w:t>
      </w:r>
      <w:r>
        <w:t xml:space="preserve"> </w:t>
      </w:r>
      <w:r>
        <w:t xml:space="preserve">magnet.</w:t>
      </w:r>
    </w:p>
    <w:p>
      <w:pPr>
        <w:pStyle w:val="BodyText"/>
      </w:pPr>
      <w:r>
        <w:t xml:space="preserve">A state police canine swept the house and found no scent of any third person.</w:t>
      </w:r>
      <w:r>
        <w:t xml:space="preserve"> </w:t>
      </w:r>
      <w:r>
        <w:t xml:space="preserve">The forensic laboratory found Richard’s DNA where the intruder’s should have</w:t>
      </w:r>
      <w:r>
        <w:t xml:space="preserve"> </w:t>
      </w:r>
      <w:r>
        <w:t xml:space="preserve">been: on the basement safe, on the back of the folding chair he’d been</w:t>
      </w:r>
      <w:r>
        <w:t xml:space="preserve"> </w:t>
      </w:r>
      <w:r>
        <w:t xml:space="preserve">“</w:t>
      </w:r>
      <w:r>
        <w:t xml:space="preserve">bound</w:t>
      </w:r>
      <w:r>
        <w:t xml:space="preserve">”</w:t>
      </w:r>
      <w:r>
        <w:t xml:space="preserve"> </w:t>
      </w:r>
      <w:r>
        <w:t xml:space="preserve">to, on the handle of the gun, on the box cutter. His zip ties were tied loose.</w:t>
      </w:r>
      <w:r>
        <w:t xml:space="preserve"> </w:t>
      </w:r>
      <w:r>
        <w:t xml:space="preserve">His wounds — thighs, chest, a finger — were the shallow geometry of</w:t>
      </w:r>
      <w:r>
        <w:t xml:space="preserve"> </w:t>
      </w:r>
      <w:r>
        <w:t xml:space="preserve">self-infliction, not torture.</w:t>
      </w:r>
    </w:p>
    <w:p>
      <w:pPr>
        <w:pStyle w:val="BodyText"/>
      </w:pPr>
      <w:r>
        <w:t xml:space="preserve">And then there was the motive, which Richard himself handed to detectives from</w:t>
      </w:r>
      <w:r>
        <w:t xml:space="preserve"> </w:t>
      </w:r>
      <w:r>
        <w:t xml:space="preserve">a bed at Hartford Hospital. For seven years he had been carrying on an affair</w:t>
      </w:r>
      <w:r>
        <w:t xml:space="preserve"> </w:t>
      </w:r>
      <w:r>
        <w:t xml:space="preserve">with a woman named Sara Ganzer. In June 2015 she became pregnant with his</w:t>
      </w:r>
      <w:r>
        <w:t xml:space="preserve"> </w:t>
      </w:r>
      <w:r>
        <w:t xml:space="preserve">child; he told her he was divorcing Connie and had already moved half his</w:t>
      </w:r>
      <w:r>
        <w:t xml:space="preserve"> </w:t>
      </w:r>
      <w:r>
        <w:t xml:space="preserve">things out. He was lying. He never called a divorce lawyer — a divorce, he</w:t>
      </w:r>
      <w:r>
        <w:t xml:space="preserve"> </w:t>
      </w:r>
      <w:r>
        <w:t xml:space="preserve">feared, would wreck him financially and detonate his family. When detectives</w:t>
      </w:r>
      <w:r>
        <w:t xml:space="preserve"> </w:t>
      </w:r>
      <w:r>
        <w:t xml:space="preserve">first asked, he floated an audacious cover story: he and Connie couldn’t have</w:t>
      </w:r>
      <w:r>
        <w:t xml:space="preserve"> </w:t>
      </w:r>
      <w:r>
        <w:t xml:space="preserve">another child, so Sara was carrying the baby as their</w:t>
      </w:r>
      <w:r>
        <w:t xml:space="preserve"> </w:t>
      </w:r>
      <w:r>
        <w:rPr>
          <w:iCs/>
          <w:i/>
        </w:rPr>
        <w:t xml:space="preserve">surrogate</w:t>
      </w:r>
      <w:r>
        <w:t xml:space="preserve">. Under</w:t>
      </w:r>
      <w:r>
        <w:t xml:space="preserve"> </w:t>
      </w:r>
      <w:r>
        <w:t xml:space="preserve">pressure, that collapsed into the truth. The detectives told him, almost</w:t>
      </w:r>
      <w:r>
        <w:t xml:space="preserve"> </w:t>
      </w:r>
      <w:r>
        <w:t xml:space="preserve">gently, that his account of the morning would be easy to check against the</w:t>
      </w:r>
      <w:r>
        <w:t xml:space="preserve"> </w:t>
      </w:r>
      <w:r>
        <w:t xml:space="preserve">electronic records. Richard asked for a lawyer.</w:t>
      </w:r>
    </w:p>
    <w:p>
      <w:pPr>
        <w:pStyle w:val="BodyText"/>
      </w:pPr>
      <w:r>
        <w:t xml:space="preserve">Sixteen months later he was arrested for murder.</w:t>
      </w:r>
    </w:p>
    <w:bookmarkEnd w:id="41"/>
    <w:bookmarkStart w:id="42" w:name="Xb2f571a3ce5b829599892b5c7bae5c141c375a5"/>
    <w:p>
      <w:pPr>
        <w:pStyle w:val="Heading2"/>
      </w:pPr>
      <w:r>
        <w:t xml:space="preserve">The science: making a step-counter testify</w:t>
      </w:r>
    </w:p>
    <w:p>
      <w:pPr>
        <w:pStyle w:val="FirstParagraph"/>
      </w:pPr>
      <w:r>
        <w:t xml:space="preserve">Getting a fitness tracker’s word into a murder trial is not automatic. Dabate’s</w:t>
      </w:r>
      <w:r>
        <w:t xml:space="preserve"> </w:t>
      </w:r>
      <w:r>
        <w:t xml:space="preserve">lawyers fought it hard, and the fight is what makes this case a landmark.</w:t>
      </w:r>
    </w:p>
    <w:p>
      <w:pPr>
        <w:pStyle w:val="BodyText"/>
      </w:pPr>
      <w:r>
        <w:t xml:space="preserve">Connecticut screens novel scientific evidence under</w:t>
      </w:r>
      <w:r>
        <w:t xml:space="preserve"> </w:t>
      </w:r>
      <w:r>
        <w:rPr>
          <w:iCs/>
          <w:i/>
        </w:rPr>
        <w:t xml:space="preserve">State v. Porter</w:t>
      </w:r>
      <w:r>
        <w:t xml:space="preserve"> </w:t>
      </w:r>
      <w:r>
        <w:t xml:space="preserve">— its</w:t>
      </w:r>
      <w:r>
        <w:t xml:space="preserve"> </w:t>
      </w:r>
      <w:r>
        <w:t xml:space="preserve">version of the federal</w:t>
      </w:r>
      <w:r>
        <w:t xml:space="preserve"> </w:t>
      </w:r>
      <w:r>
        <w:rPr>
          <w:iCs/>
          <w:i/>
        </w:rPr>
        <w:t xml:space="preserve">Daubert</w:t>
      </w:r>
      <w:r>
        <w:t xml:space="preserve"> </w:t>
      </w:r>
      <w:r>
        <w:t xml:space="preserve">standard. Before the Fitbit data could reach</w:t>
      </w:r>
      <w:r>
        <w:t xml:space="preserve"> </w:t>
      </w:r>
      <w:r>
        <w:t xml:space="preserve">the jury, a judge had to be satisfied the technology was genuinely reliable:</w:t>
      </w:r>
      <w:r>
        <w:t xml:space="preserve"> </w:t>
      </w:r>
      <w:r>
        <w:t xml:space="preserve">tested, peer-reviewed, accepted in the scientific community, not something</w:t>
      </w:r>
      <w:r>
        <w:t xml:space="preserve"> </w:t>
      </w:r>
      <w:r>
        <w:t xml:space="preserve">cooked up for courtrooms.</w:t>
      </w:r>
    </w:p>
    <w:p>
      <w:pPr>
        <w:pStyle w:val="BodyText"/>
      </w:pPr>
      <w:r>
        <w:t xml:space="preserve">The state’s answer was Keith Diaz, a professor of behavioral medicine at</w:t>
      </w:r>
      <w:r>
        <w:t xml:space="preserve"> </w:t>
      </w:r>
      <w:r>
        <w:t xml:space="preserve">Columbia University Medical Center and director of its Wearable Device Reading</w:t>
      </w:r>
      <w:r>
        <w:t xml:space="preserve"> </w:t>
      </w:r>
      <w:r>
        <w:t xml:space="preserve">Center. Diaz had run an NIH-funded validation study of consumer fitness</w:t>
      </w:r>
      <w:r>
        <w:t xml:space="preserve"> </w:t>
      </w:r>
      <w:r>
        <w:t xml:space="preserve">trackers, and his findings were quietly remarkable: the Fitbit is</w:t>
      </w:r>
      <w:r>
        <w:t xml:space="preserve"> </w:t>
      </w:r>
      <w:r>
        <w:rPr>
          <w:iCs/>
          <w:i/>
        </w:rPr>
        <w:t xml:space="preserve">very</w:t>
      </w:r>
      <w:r>
        <w:t xml:space="preserve"> </w:t>
      </w:r>
      <w:r>
        <w:t xml:space="preserve">accurate at counting steps — more accurate, in fact, than the Actical, a</w:t>
      </w:r>
      <w:r>
        <w:t xml:space="preserve"> </w:t>
      </w:r>
      <w:r>
        <w:t xml:space="preserve">research-grade device scientists use. And it is at its most accurate when worn</w:t>
      </w:r>
      <w:r>
        <w:t xml:space="preserve"> </w:t>
      </w:r>
      <w:r>
        <w:t xml:space="preserve">on the hip.</w:t>
      </w:r>
    </w:p>
    <w:p>
      <w:pPr>
        <w:pStyle w:val="BodyText"/>
      </w:pPr>
      <w:r>
        <w:t xml:space="preserve">Connie wore hers on her hip.</w:t>
      </w:r>
    </w:p>
    <w:p>
      <w:pPr>
        <w:pStyle w:val="BodyText"/>
      </w:pPr>
      <w:r>
        <w:t xml:space="preserve">The defense’s best punch was a clever one: Diaz couldn’t explain Fitbit’s</w:t>
      </w:r>
      <w:r>
        <w:t xml:space="preserve"> </w:t>
      </w:r>
      <w:r>
        <w:t xml:space="preserve">proprietary internal algorithm — the secret code that turns raw motion into a</w:t>
      </w:r>
      <w:r>
        <w:t xml:space="preserve"> </w:t>
      </w:r>
      <w:r>
        <w:t xml:space="preserve">step count. If the expert can’t open the black box, how can the court trust</w:t>
      </w:r>
      <w:r>
        <w:t xml:space="preserve"> </w:t>
      </w:r>
      <w:r>
        <w:t xml:space="preserve">what comes out of it? The Connecticut Supreme Court’s answer will echo through</w:t>
      </w:r>
      <w:r>
        <w:t xml:space="preserve"> </w:t>
      </w:r>
      <w:r>
        <w:t xml:space="preserve">every device case to come: an expert doesn’t need the source code to prove a</w:t>
      </w:r>
      <w:r>
        <w:t xml:space="preserve"> </w:t>
      </w:r>
      <w:r>
        <w:t xml:space="preserve">machine’s output is reliable, any more than he needs Ford’s blueprints to</w:t>
      </w:r>
      <w:r>
        <w:t xml:space="preserve"> </w:t>
      </w:r>
      <w:r>
        <w:t xml:space="preserve">testify that a speedometer works. What matters is validation — testing the</w:t>
      </w:r>
      <w:r>
        <w:t xml:space="preserve"> </w:t>
      </w:r>
      <w:r>
        <w:t xml:space="preserve">device against ground truth, publishing the results, letting other scientists</w:t>
      </w:r>
      <w:r>
        <w:t xml:space="preserve"> </w:t>
      </w:r>
      <w:r>
        <w:t xml:space="preserve">tear at them.</w:t>
      </w:r>
    </w:p>
    <w:p>
      <w:pPr>
        <w:pStyle w:val="BodyText"/>
      </w:pPr>
      <w:r>
        <w:t xml:space="preserve">The jury convicted Richard Dabate of murder, tampering with evidence, and</w:t>
      </w:r>
      <w:r>
        <w:t xml:space="preserve"> </w:t>
      </w:r>
      <w:r>
        <w:t xml:space="preserve">making a false statement. He was sentenced to sixty-five years. In March 2025,</w:t>
      </w:r>
      <w:r>
        <w:t xml:space="preserve"> </w:t>
      </w:r>
      <w:r>
        <w:t xml:space="preserve">the Connecticut Supreme Court affirmed it all — even while scolding the</w:t>
      </w:r>
      <w:r>
        <w:t xml:space="preserve"> </w:t>
      </w:r>
      <w:r>
        <w:t xml:space="preserve">prosecutor for four separate instances of courtroom impropriety, including the</w:t>
      </w:r>
      <w:r>
        <w:t xml:space="preserve"> </w:t>
      </w:r>
      <w:r>
        <w:t xml:space="preserve">moment he asked Dabate whether he’d been</w:t>
      </w:r>
      <w:r>
        <w:t xml:space="preserve"> </w:t>
      </w:r>
      <w:r>
        <w:t xml:space="preserve">“</w:t>
      </w:r>
      <w:r>
        <w:t xml:space="preserve">trying to create a little mini</w:t>
      </w:r>
      <w:r>
        <w:t xml:space="preserve"> </w:t>
      </w:r>
      <w:r>
        <w:t xml:space="preserve">Cheshire scene,</w:t>
      </w:r>
      <w:r>
        <w:t xml:space="preserve">”</w:t>
      </w:r>
      <w:r>
        <w:t xml:space="preserve"> </w:t>
      </w:r>
      <w:r>
        <w:t xml:space="preserve">a forbidden reference to Connecticut’s most notorious real</w:t>
      </w:r>
      <w:r>
        <w:t xml:space="preserve"> </w:t>
      </w:r>
      <w:r>
        <w:t xml:space="preserve">home invasion. The improprieties were real, the court held; the case against</w:t>
      </w:r>
      <w:r>
        <w:t xml:space="preserve"> </w:t>
      </w:r>
      <w:r>
        <w:t xml:space="preserve">Dabate was simply overwhelming with or without them.</w:t>
      </w:r>
    </w:p>
    <w:bookmarkEnd w:id="42"/>
    <w:bookmarkStart w:id="45" w:name="howd-he-get-caught-1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staged a home invasion for an audience of police officers — and forgot the</w:t>
      </w:r>
      <w:r>
        <w:t xml:space="preserve"> </w:t>
      </w:r>
      <w:r>
        <w:t xml:space="preserve">other witnesses in the house. The security panel logged his rehearsal. Facebook</w:t>
      </w:r>
      <w:r>
        <w:t xml:space="preserve"> </w:t>
      </w:r>
      <w:r>
        <w:t xml:space="preserve">logged his wife’s final ordinary hour. And a $99 step-counter on her hip logged</w:t>
      </w:r>
      <w:r>
        <w:t xml:space="preserve"> </w:t>
      </w:r>
      <w:r>
        <w:t xml:space="preserve">the exact minute her life ended, an hour out of sync with the story her husband</w:t>
      </w:r>
      <w:r>
        <w:t xml:space="preserve"> </w:t>
      </w:r>
      <w:r>
        <w:t xml:space="preserve">was already telling. Richard Dabate built an alibi out of words. Connie’s</w:t>
      </w:r>
      <w:r>
        <w:t xml:space="preserve"> </w:t>
      </w:r>
      <w:r>
        <w:t xml:space="preserve">Fitbit outlived it.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, 351 Conn. 428 (2025)</w:t>
      </w:r>
      <w:r>
        <w:t xml:space="preserve"> </w:t>
      </w:r>
      <w:r>
        <w:t xml:space="preserve">(SC 20749), Connecticut Supreme Court, decided March 11, 2025.</w:t>
      </w:r>
      <w:r>
        <w:t xml:space="preserve"> </w:t>
      </w:r>
      <w:r>
        <w:t xml:space="preserve">Free online:</w:t>
      </w:r>
      <w:r>
        <w:t xml:space="preserve"> </w:t>
      </w:r>
      <w:hyperlink r:id="rId43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slip opinion via the</w:t>
      </w:r>
      <w:r>
        <w:t xml:space="preserve"> </w:t>
      </w:r>
      <w:hyperlink r:id="rId44">
        <w:r>
          <w:rPr>
            <w:rStyle w:val="Hyperlink"/>
          </w:rPr>
          <w:t xml:space="preserve">Connecticut Judicial Branch</w:t>
        </w:r>
      </w:hyperlink>
      <w:r>
        <w:t xml:space="preserve">.</w:t>
      </w:r>
      <w:r>
        <w:t xml:space="preserve"> </w:t>
      </w:r>
      <w:r>
        <w:t xml:space="preserve">The factual matrix is set out at the opening of the opinion; the Fitbit</w:t>
      </w:r>
      <w:r>
        <w:t xml:space="preserve"> </w:t>
      </w:r>
      <w:r>
        <w:t xml:space="preserve">admissibility ruling is Part II.</w:t>
      </w:r>
    </w:p>
    <w:bookmarkEnd w:id="45"/>
    <w:bookmarkEnd w:id="46"/>
    <w:bookmarkStart w:id="54" w:name="chapter-22-twelve-steps"/>
    <w:p>
      <w:pPr>
        <w:pStyle w:val="Heading1"/>
      </w:pPr>
      <w:r>
        <w:t xml:space="preserve">Chapter 22 — Twelve Steps</w:t>
      </w:r>
    </w:p>
    <w:p>
      <w:pPr>
        <w:pStyle w:val="FirstParagraph"/>
      </w:pPr>
      <w:r>
        <w:rPr>
          <w:bCs/>
          <w:b/>
        </w:rPr>
        <w:t xml:space="preserve">The Fitbit cleared the boyfriend. A cellphone handed over in a fender-bender</w:t>
      </w:r>
      <w:r>
        <w:rPr>
          <w:bCs/>
          <w:b/>
        </w:rPr>
        <w:t xml:space="preserve"> </w:t>
      </w:r>
      <w:r>
        <w:rPr>
          <w:bCs/>
          <w:b/>
        </w:rPr>
        <w:t xml:space="preserve">case buried the man who did it.</w:t>
      </w:r>
    </w:p>
    <w:p>
      <w:pPr>
        <w:pStyle w:val="BodyText"/>
      </w:pPr>
      <w:r>
        <w:t xml:space="preserve">When police find a woman murdered, they look first at the man she loved. It is</w:t>
      </w:r>
      <w:r>
        <w:t xml:space="preserve"> </w:t>
      </w:r>
      <w:r>
        <w:t xml:space="preserve">grim arithmetic, but it is arithmetic that usually works.</w:t>
      </w:r>
    </w:p>
    <w:p>
      <w:pPr>
        <w:pStyle w:val="BodyText"/>
      </w:pPr>
      <w:r>
        <w:t xml:space="preserve">On the night of May 20, 2016, Nicole VanderHeyden went to a bar near Green Bay,</w:t>
      </w:r>
      <w:r>
        <w:t xml:space="preserve"> </w:t>
      </w:r>
      <w:r>
        <w:t xml:space="preserve">Wisconsin, with her boyfriend, Douglass Detrie. They got separated. A phone</w:t>
      </w:r>
      <w:r>
        <w:t xml:space="preserve"> </w:t>
      </w:r>
      <w:r>
        <w:t xml:space="preserve">call and a string of text messages turned into an argument, and Detrie went</w:t>
      </w:r>
      <w:r>
        <w:t xml:space="preserve"> </w:t>
      </w:r>
      <w:r>
        <w:t xml:space="preserve">home alone to the house they shared.</w:t>
      </w:r>
    </w:p>
    <w:p>
      <w:pPr>
        <w:pStyle w:val="BodyText"/>
      </w:pPr>
      <w:r>
        <w:t xml:space="preserve">The next day, Nicole’s body was discovered next to a field. Her blood-stained</w:t>
      </w:r>
      <w:r>
        <w:t xml:space="preserve"> </w:t>
      </w:r>
      <w:r>
        <w:t xml:space="preserve">clothing turned up discarded along a freeway on-ramp. Some of her blood and</w:t>
      </w:r>
      <w:r>
        <w:t xml:space="preserve"> </w:t>
      </w:r>
      <w:r>
        <w:t xml:space="preserve">hair was found outside a neighbor’s house. The Brown County Sheriff’s Office</w:t>
      </w:r>
      <w:r>
        <w:t xml:space="preserve"> </w:t>
      </w:r>
      <w:r>
        <w:t xml:space="preserve">opened a homicide investigation, and the grim arithmetic did its work: Detrie —</w:t>
      </w:r>
      <w:r>
        <w:t xml:space="preserve"> </w:t>
      </w:r>
      <w:r>
        <w:t xml:space="preserve">the boyfriend, the argument, the last man with her — became the first suspect.</w:t>
      </w:r>
    </w:p>
    <w:p>
      <w:pPr>
        <w:pStyle w:val="BodyText"/>
      </w:pPr>
      <w:r>
        <w:t xml:space="preserve">Then investigators looked at his wrist.</w:t>
      </w:r>
    </w:p>
    <w:p>
      <w:pPr>
        <w:pStyle w:val="BodyText"/>
      </w:pPr>
      <w:r>
        <w:t xml:space="preserve">Detrie wore a Fitbit Flex, a small band that does nothing but count its</w:t>
      </w:r>
      <w:r>
        <w:t xml:space="preserve"> </w:t>
      </w:r>
      <w:r>
        <w:t xml:space="preserve">wearer’s steps, hour after hour, whether or not anyone ever asks. During the</w:t>
      </w:r>
      <w:r>
        <w:t xml:space="preserve"> </w:t>
      </w:r>
      <w:r>
        <w:t xml:space="preserve">hours of Nicole VanderHeyden’s death, Detrie’s Fitbit logged</w:t>
      </w:r>
      <w:r>
        <w:t xml:space="preserve"> </w:t>
      </w:r>
      <w:r>
        <w:rPr>
          <w:bCs/>
          <w:b/>
        </w:rPr>
        <w:t xml:space="preserve">twelve steps</w:t>
      </w:r>
      <w:r>
        <w:t xml:space="preserve">.</w:t>
      </w:r>
    </w:p>
    <w:p>
      <w:pPr>
        <w:pStyle w:val="BodyText"/>
      </w:pPr>
      <w:r>
        <w:t xml:space="preserve">Twelve steps is a man getting up for a glass of water. It is not a man beating</w:t>
      </w:r>
      <w:r>
        <w:t xml:space="preserve"> </w:t>
      </w:r>
      <w:r>
        <w:t xml:space="preserve">a woman, moving her body to a field, and scattering her clothes along a</w:t>
      </w:r>
      <w:r>
        <w:t xml:space="preserve"> </w:t>
      </w:r>
      <w:r>
        <w:t xml:space="preserve">freeway. The investigation turned away from Detrie — and for months, it had</w:t>
      </w:r>
      <w:r>
        <w:t xml:space="preserve"> </w:t>
      </w:r>
      <w:r>
        <w:t xml:space="preserve">nowhere else to go.</w:t>
      </w:r>
    </w:p>
    <w:bookmarkStart w:id="47" w:name="the-phone-in-the-evidence-locker"/>
    <w:p>
      <w:pPr>
        <w:pStyle w:val="Heading2"/>
      </w:pPr>
      <w:r>
        <w:t xml:space="preserve">The phone in the evidence locker</w:t>
      </w:r>
    </w:p>
    <w:p>
      <w:pPr>
        <w:pStyle w:val="FirstParagraph"/>
      </w:pPr>
      <w:r>
        <w:t xml:space="preserve">Here is where this case becomes something stranger and more instructive than</w:t>
      </w:r>
      <w:r>
        <w:t xml:space="preserve"> </w:t>
      </w:r>
      <w:r>
        <w:t xml:space="preserve">any episode of television: the killer had already given the police everything</w:t>
      </w:r>
      <w:r>
        <w:t xml:space="preserve"> </w:t>
      </w:r>
      <w:r>
        <w:t xml:space="preserve">they needed. Voluntarily. With a signed form.</w:t>
      </w:r>
    </w:p>
    <w:p>
      <w:pPr>
        <w:pStyle w:val="BodyText"/>
      </w:pPr>
      <w:r>
        <w:t xml:space="preserve">Three weeks after the murder, the Green Bay Police Department — a different</w:t>
      </w:r>
      <w:r>
        <w:t xml:space="preserve"> </w:t>
      </w:r>
      <w:r>
        <w:t xml:space="preserve">agency entirely — was investigating three minor incidents involving the same</w:t>
      </w:r>
      <w:r>
        <w:t xml:space="preserve"> </w:t>
      </w:r>
      <w:r>
        <w:t xml:space="preserve">vehicle: a stolen-vehicle report, a vehicle fire, and a hit-and-run. Their</w:t>
      </w:r>
      <w:r>
        <w:t xml:space="preserve"> </w:t>
      </w:r>
      <w:r>
        <w:t xml:space="preserve">suspect was a man named George Burch. An officer asked Burch if he could take</w:t>
      </w:r>
      <w:r>
        <w:t xml:space="preserve"> </w:t>
      </w:r>
      <w:r>
        <w:t xml:space="preserve">a look at the text messages on his phone to check his alibi. Burch agreed. The</w:t>
      </w:r>
      <w:r>
        <w:t xml:space="preserve"> </w:t>
      </w:r>
      <w:r>
        <w:t xml:space="preserve">officer explained it was easier to download the phone’s contents than to</w:t>
      </w:r>
      <w:r>
        <w:t xml:space="preserve"> </w:t>
      </w:r>
      <w:r>
        <w:t xml:space="preserve">photograph the screen, and Burch said that would be fine. He signed a consent</w:t>
      </w:r>
      <w:r>
        <w:t xml:space="preserve"> </w:t>
      </w:r>
      <w:r>
        <w:t xml:space="preserve">form: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I, George Stephen Burch . . . voluntarily give . . . permission to</w:t>
      </w:r>
      <w:r>
        <w:rPr>
          <w:iCs/>
          <w:i/>
        </w:rPr>
        <w:t xml:space="preserve"> </w:t>
      </w:r>
      <w:r>
        <w:rPr>
          <w:iCs/>
          <w:i/>
        </w:rPr>
        <w:t xml:space="preserve">search my . . . Samsung cellphone.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The department’s forensic examiner did what forensic examiners do: a full</w:t>
      </w:r>
      <w:r>
        <w:t xml:space="preserve"> </w:t>
      </w:r>
      <w:r>
        <w:t xml:space="preserve">physical extraction of everything on the device, saved to long-term storage,</w:t>
      </w:r>
      <w:r>
        <w:t xml:space="preserve"> </w:t>
      </w:r>
      <w:r>
        <w:t xml:space="preserve">standard practice. Burch got his phone back. The file sat in the archive.</w:t>
      </w:r>
    </w:p>
    <w:p>
      <w:pPr>
        <w:pStyle w:val="BodyText"/>
      </w:pPr>
      <w:r>
        <w:t xml:space="preserve">Two months later, the Sheriff’s Office — still working the VanderHeyden</w:t>
      </w:r>
      <w:r>
        <w:t xml:space="preserve"> </w:t>
      </w:r>
      <w:r>
        <w:t xml:space="preserve">homicide — matched a DNA sample from Nicole’s sock to George Burch. When</w:t>
      </w:r>
      <w:r>
        <w:t xml:space="preserve"> </w:t>
      </w:r>
      <w:r>
        <w:t xml:space="preserve">detectives searched local records for prior police contact with him, they</w:t>
      </w:r>
      <w:r>
        <w:t xml:space="preserve"> </w:t>
      </w:r>
      <w:r>
        <w:t xml:space="preserve">found the Green Bay file: the consent form, and a complete copy of everything</w:t>
      </w:r>
      <w:r>
        <w:t xml:space="preserve"> </w:t>
      </w:r>
      <w:r>
        <w:t xml:space="preserve">that had been on his phone.</w:t>
      </w:r>
    </w:p>
    <w:p>
      <w:pPr>
        <w:pStyle w:val="BodyText"/>
      </w:pPr>
      <w:r>
        <w:t xml:space="preserve">What was on his phone was damning twice over. His internet history included</w:t>
      </w:r>
      <w:r>
        <w:t xml:space="preserve"> </w:t>
      </w:r>
      <w:r>
        <w:rPr>
          <w:bCs/>
          <w:b/>
        </w:rPr>
        <w:t xml:space="preserve">sixty-four viewings of news stories about Nicole VanderHeyden’s death</w:t>
      </w:r>
      <w:r>
        <w:t xml:space="preserve"> </w:t>
      </w:r>
      <w:r>
        <w:t xml:space="preserve">— a</w:t>
      </w:r>
      <w:r>
        <w:t xml:space="preserve"> </w:t>
      </w:r>
      <w:r>
        <w:t xml:space="preserve">man compulsively watching the coverage of a murder he claimed to know nothing</w:t>
      </w:r>
      <w:r>
        <w:t xml:space="preserve"> </w:t>
      </w:r>
      <w:r>
        <w:t xml:space="preserve">about. And the phone pointed to a Google account. With a warrant, detectives</w:t>
      </w:r>
      <w:r>
        <w:t xml:space="preserve"> </w:t>
      </w:r>
      <w:r>
        <w:t xml:space="preserve">obtained Burch’s</w:t>
      </w:r>
      <w:r>
        <w:t xml:space="preserve"> </w:t>
      </w:r>
      <w:r>
        <w:t xml:space="preserve">“</w:t>
      </w:r>
      <w:r>
        <w:t xml:space="preserve">Google Dashboard</w:t>
      </w:r>
      <w:r>
        <w:t xml:space="preserve">”</w:t>
      </w:r>
      <w:r>
        <w:t xml:space="preserve"> </w:t>
      </w:r>
      <w:r>
        <w:t xml:space="preserve">data, and Google’s location records placed</w:t>
      </w:r>
      <w:r>
        <w:t xml:space="preserve"> </w:t>
      </w:r>
      <w:r>
        <w:t xml:space="preserve">his phone at the bar Nicole visited that night, near her residence, at the</w:t>
      </w:r>
      <w:r>
        <w:t xml:space="preserve"> </w:t>
      </w:r>
      <w:r>
        <w:t xml:space="preserve">field where her body was found — and at the on-ramp where her bloody clothing</w:t>
      </w:r>
      <w:r>
        <w:t xml:space="preserve"> </w:t>
      </w:r>
      <w:r>
        <w:t xml:space="preserve">had been thrown from a vehicle.</w:t>
      </w:r>
    </w:p>
    <w:p>
      <w:pPr>
        <w:pStyle w:val="BodyText"/>
      </w:pPr>
      <w:r>
        <w:t xml:space="preserve">The phone had followed him through every stop of the crime, and then he had</w:t>
      </w:r>
      <w:r>
        <w:t xml:space="preserve"> </w:t>
      </w:r>
      <w:r>
        <w:t xml:space="preserve">handed it to a police officer over a fender-bender.</w:t>
      </w:r>
    </w:p>
    <w:bookmarkEnd w:id="47"/>
    <w:bookmarkStart w:id="48" w:name="the-story-he-told-the-jury"/>
    <w:p>
      <w:pPr>
        <w:pStyle w:val="Heading2"/>
      </w:pPr>
      <w:r>
        <w:t xml:space="preserve">The story he told the jury</w:t>
      </w:r>
    </w:p>
    <w:p>
      <w:pPr>
        <w:pStyle w:val="FirstParagraph"/>
      </w:pPr>
      <w:r>
        <w:t xml:space="preserve">At trial, Burch admitted he was with Nicole the night she died — he had to;</w:t>
      </w:r>
      <w:r>
        <w:t xml:space="preserve"> </w:t>
      </w:r>
      <w:r>
        <w:t xml:space="preserve">the data left him no choice. So he told the jury a story. They met at a bar,</w:t>
      </w:r>
      <w:r>
        <w:t xml:space="preserve"> </w:t>
      </w:r>
      <w:r>
        <w:t xml:space="preserve">he said, left together, parked near her house, became intimate. Then, he</w:t>
      </w:r>
      <w:r>
        <w:t xml:space="preserve"> </w:t>
      </w:r>
      <w:r>
        <w:t xml:space="preserve">claimed, he blacked out — and woke up on the ground with Nicole dead and</w:t>
      </w:r>
      <w:r>
        <w:t xml:space="preserve"> </w:t>
      </w:r>
      <w:r>
        <w:rPr>
          <w:iCs/>
          <w:i/>
        </w:rPr>
        <w:t xml:space="preserve">Detrie</w:t>
      </w:r>
      <w:r>
        <w:t xml:space="preserve"> </w:t>
      </w:r>
      <w:r>
        <w:t xml:space="preserve">standing over them with a gun. In Burch’s telling, the boyfriend</w:t>
      </w:r>
      <w:r>
        <w:t xml:space="preserve"> </w:t>
      </w:r>
      <w:r>
        <w:t xml:space="preserve">forced him at gunpoint to load Nicole’s body into his own vehicle, drive it to</w:t>
      </w:r>
      <w:r>
        <w:t xml:space="preserve"> </w:t>
      </w:r>
      <w:r>
        <w:t xml:space="preserve">the field, and carry her into the ditch. Only then did Burch heroically shove</w:t>
      </w:r>
      <w:r>
        <w:t xml:space="preserve"> </w:t>
      </w:r>
      <w:r>
        <w:t xml:space="preserve">Detrie, run to his vehicle, and escape — pausing, on the drive home, to throw</w:t>
      </w:r>
      <w:r>
        <w:t xml:space="preserve"> </w:t>
      </w:r>
      <w:r>
        <w:t xml:space="preserve">Nicole’s clothing out the window</w:t>
      </w:r>
      <w:r>
        <w:t xml:space="preserve"> </w:t>
      </w:r>
      <w:r>
        <w:t xml:space="preserve">“</w:t>
      </w:r>
      <w:r>
        <w:t xml:space="preserve">in a panic.</w:t>
      </w:r>
      <w:r>
        <w:t xml:space="preserve">”</w:t>
      </w:r>
    </w:p>
    <w:p>
      <w:pPr>
        <w:pStyle w:val="BodyText"/>
      </w:pPr>
      <w:r>
        <w:t xml:space="preserve">He had, of course, mentioned this to no one — not during the months police</w:t>
      </w:r>
      <w:r>
        <w:t xml:space="preserve"> </w:t>
      </w:r>
      <w:r>
        <w:t xml:space="preserve">publicly begged for tips, not to a single friend.</w:t>
      </w:r>
    </w:p>
    <w:p>
      <w:pPr>
        <w:pStyle w:val="BodyText"/>
      </w:pPr>
      <w:r>
        <w:t xml:space="preserve">The jury was asked to believe that the man whose Fitbit counted twelve steps</w:t>
      </w:r>
      <w:r>
        <w:t xml:space="preserve"> </w:t>
      </w:r>
      <w:r>
        <w:t xml:space="preserve">that night had orchestrated all of it. They deliberated and convicted George</w:t>
      </w:r>
      <w:r>
        <w:t xml:space="preserve"> </w:t>
      </w:r>
      <w:r>
        <w:t xml:space="preserve">Burch of first-degree intentional homicide. He was sentenced to life.</w:t>
      </w:r>
    </w:p>
    <w:bookmarkEnd w:id="48"/>
    <w:bookmarkStart w:id="49" w:name="what-the-appeal-decided"/>
    <w:p>
      <w:pPr>
        <w:pStyle w:val="Heading2"/>
      </w:pPr>
      <w:r>
        <w:t xml:space="preserve">What the appeal decided</w:t>
      </w:r>
    </w:p>
    <w:p>
      <w:pPr>
        <w:pStyle w:val="FirstParagraph"/>
      </w:pPr>
      <w:r>
        <w:t xml:space="preserve">Burch’s appeal reached the Wisconsin Supreme Court, and it is the reason this</w:t>
      </w:r>
      <w:r>
        <w:t xml:space="preserve"> </w:t>
      </w:r>
      <w:r>
        <w:t xml:space="preserve">case matters far beyond Green Bay. He argued the police had betrayed him twice:</w:t>
      </w:r>
      <w:r>
        <w:t xml:space="preserve"> </w:t>
      </w:r>
      <w:r>
        <w:t xml:space="preserve">first when Green Bay downloaded his</w:t>
      </w:r>
      <w:r>
        <w:t xml:space="preserve"> </w:t>
      </w:r>
      <w:r>
        <w:rPr>
          <w:iCs/>
          <w:i/>
        </w:rPr>
        <w:t xml:space="preserve">entire</w:t>
      </w:r>
      <w:r>
        <w:t xml:space="preserve"> </w:t>
      </w:r>
      <w:r>
        <w:t xml:space="preserve">phone after he’d only discussed</w:t>
      </w:r>
      <w:r>
        <w:t xml:space="preserve"> </w:t>
      </w:r>
      <w:r>
        <w:t xml:space="preserve">text messages, and again when a different department mined that download,</w:t>
      </w:r>
      <w:r>
        <w:t xml:space="preserve"> </w:t>
      </w:r>
      <w:r>
        <w:t xml:space="preserve">months later, for a murder he’d never consented to being investigated for.</w:t>
      </w:r>
    </w:p>
    <w:p>
      <w:pPr>
        <w:pStyle w:val="BodyText"/>
      </w:pPr>
      <w:r>
        <w:t xml:space="preserve">The court was unmoved (June 29, 2021, in a decision with several separate</w:t>
      </w:r>
      <w:r>
        <w:t xml:space="preserve"> </w:t>
      </w:r>
      <w:r>
        <w:t xml:space="preserve">writings — the justices themselves disagreed about how far digital consent</w:t>
      </w:r>
      <w:r>
        <w:t xml:space="preserve"> </w:t>
      </w:r>
      <w:r>
        <w:t xml:space="preserve">should stretch). Burch had signed a form authorizing a search of his cellphone,</w:t>
      </w:r>
      <w:r>
        <w:t xml:space="preserve"> </w:t>
      </w:r>
      <w:r>
        <w:t xml:space="preserve">full stop; nothing in his conversation with the officer limited it to texts.</w:t>
      </w:r>
      <w:r>
        <w:t xml:space="preserve"> </w:t>
      </w:r>
      <w:r>
        <w:t xml:space="preserve">And once the data lawfully sat in police storage, one department sharing it</w:t>
      </w:r>
      <w:r>
        <w:t xml:space="preserve"> </w:t>
      </w:r>
      <w:r>
        <w:t xml:space="preserve">with another was, in the circuit court’s words, a common and long-understood</w:t>
      </w:r>
      <w:r>
        <w:t xml:space="preserve"> </w:t>
      </w:r>
      <w:r>
        <w:t xml:space="preserve">practice.</w:t>
      </w:r>
    </w:p>
    <w:p>
      <w:pPr>
        <w:pStyle w:val="BodyText"/>
      </w:pPr>
      <w:r>
        <w:t xml:space="preserve">The Fitbit ruling was quieter but just as consequential. Burch — in a mirror</w:t>
      </w:r>
      <w:r>
        <w:t xml:space="preserve"> </w:t>
      </w:r>
      <w:r>
        <w:t xml:space="preserve">image of the fight in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 </w:t>
      </w:r>
      <w:r>
        <w:t xml:space="preserve">(Chapter 21) — demanded the State</w:t>
      </w:r>
      <w:r>
        <w:t xml:space="preserve"> </w:t>
      </w:r>
      <w:r>
        <w:t xml:space="preserve">produce an expert to prove the science of Detrie’s Fitbit before the twelve</w:t>
      </w:r>
      <w:r>
        <w:t xml:space="preserve"> </w:t>
      </w:r>
      <w:r>
        <w:t xml:space="preserve">steps could clear his rival. The court held the step-count records could come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expert testimony on the underlying technology. Where Connecticut</w:t>
      </w:r>
      <w:r>
        <w:t xml:space="preserve"> </w:t>
      </w:r>
      <w:r>
        <w:t xml:space="preserve">would put a Columbia professor on the stand to validate the device, Wisconsin</w:t>
      </w:r>
      <w:r>
        <w:t xml:space="preserve"> </w:t>
      </w:r>
      <w:r>
        <w:t xml:space="preserve">let the little band speak for itself.</w:t>
      </w:r>
    </w:p>
    <w:bookmarkEnd w:id="49"/>
    <w:bookmarkStart w:id="53" w:name="howd-he-get-caught-2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his own helpfulness. A murderer, three weeks clear of the</w:t>
      </w:r>
      <w:r>
        <w:t xml:space="preserve"> </w:t>
      </w:r>
      <w:r>
        <w:t xml:space="preserve">crime, signed a consent form in a trivial case to make himself look</w:t>
      </w:r>
      <w:r>
        <w:t xml:space="preserve"> </w:t>
      </w:r>
      <w:r>
        <w:t xml:space="preserve">cooperative — and handed police a complete map of the killing: his phone at</w:t>
      </w:r>
      <w:r>
        <w:t xml:space="preserve"> </w:t>
      </w:r>
      <w:r>
        <w:t xml:space="preserve">the bar, at her house, at the field, at the on-ramp, and sixty-four anxious</w:t>
      </w:r>
      <w:r>
        <w:t xml:space="preserve"> </w:t>
      </w:r>
      <w:r>
        <w:t xml:space="preserve">returns to the news coverage. Meanwhile, the man the arithmetic said should go</w:t>
      </w:r>
      <w:r>
        <w:t xml:space="preserve"> </w:t>
      </w:r>
      <w:r>
        <w:t xml:space="preserve">to prison was saved by a $99 wristband that had counted him fast asleep.</w:t>
      </w:r>
      <w:r>
        <w:t xml:space="preserve"> </w:t>
      </w:r>
      <w:r>
        <w:t xml:space="preserve">Twelve steps.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68, 398 Wis. 2d 1,</w:t>
      </w:r>
      <w:r>
        <w:t xml:space="preserve"> </w:t>
      </w:r>
      <w:r>
        <w:t xml:space="preserve">961 N.W.2d 314, Wisconsin Supreme Court, decided June 29, 2021.</w:t>
      </w:r>
      <w:r>
        <w:t xml:space="preserve"> </w:t>
      </w:r>
      <w:r>
        <w:t xml:space="preserve">Free online:</w:t>
      </w:r>
      <w:r>
        <w:t xml:space="preserve"> </w:t>
      </w:r>
      <w:hyperlink r:id="rId50">
        <w:r>
          <w:rPr>
            <w:rStyle w:val="Hyperlink"/>
          </w:rPr>
          <w:t xml:space="preserve">CourtListener</w:t>
        </w:r>
      </w:hyperlink>
      <w:r>
        <w:t xml:space="preserve"> </w:t>
      </w:r>
      <w:r>
        <w:t xml:space="preserve">·</w:t>
      </w:r>
      <w:r>
        <w:t xml:space="preserve"> </w:t>
      </w:r>
      <w:hyperlink r:id="rId51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52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facts are set out in the Background section; the cellphone-consent and</w:t>
      </w:r>
      <w:r>
        <w:t xml:space="preserve"> </w:t>
      </w:r>
      <w:r>
        <w:t xml:space="preserve">Fitbit rulings follow in the Discussion.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31">
    <w:nsid w:val="A994131"/>
    <w:multiLevelType w:val="multilevel"/>
    <w:lvl w:ilvl="0">
      <w:start w:val="31"/>
      <w:numFmt w:val="decimal"/>
      <w:lvlText w:val="%1."/>
      <w:lvlJc w:val="left"/>
      <w:pPr>
        <w:ind w:left="720" w:hanging="480"/>
      </w:pPr>
    </w:lvl>
    <w:lvl w:ilvl="1">
      <w:start w:val="31"/>
      <w:numFmt w:val="decimal"/>
      <w:lvlText w:val="%2."/>
      <w:lvlJc w:val="left"/>
      <w:pPr>
        <w:ind w:left="1440" w:hanging="480"/>
      </w:pPr>
    </w:lvl>
    <w:lvl w:ilvl="2">
      <w:start w:val="31"/>
      <w:numFmt w:val="decimal"/>
      <w:lvlText w:val="%3."/>
      <w:lvlJc w:val="left"/>
      <w:pPr>
        <w:ind w:left="2160" w:hanging="480"/>
      </w:pPr>
    </w:lvl>
    <w:lvl w:ilvl="3">
      <w:start w:val="31"/>
      <w:numFmt w:val="decimal"/>
      <w:lvlText w:val="%4."/>
      <w:lvlJc w:val="left"/>
      <w:pPr>
        <w:ind w:left="2880" w:hanging="480"/>
      </w:pPr>
    </w:lvl>
    <w:lvl w:ilvl="4">
      <w:start w:val="31"/>
      <w:numFmt w:val="decimal"/>
      <w:lvlText w:val="%5."/>
      <w:lvlJc w:val="left"/>
      <w:pPr>
        <w:ind w:left="3600" w:hanging="480"/>
      </w:pPr>
    </w:lvl>
    <w:lvl w:ilvl="5">
      <w:start w:val="31"/>
      <w:numFmt w:val="decimal"/>
      <w:lvlText w:val="%6."/>
      <w:lvlJc w:val="left"/>
      <w:pPr>
        <w:ind w:left="4320" w:hanging="480"/>
      </w:pPr>
    </w:lvl>
    <w:lvl w:ilvl="6">
      <w:start w:val="31"/>
      <w:numFmt w:val="decimal"/>
      <w:lvlText w:val="%7."/>
      <w:lvlJc w:val="left"/>
      <w:pPr>
        <w:ind w:left="5040" w:hanging="480"/>
      </w:pPr>
    </w:lvl>
    <w:lvl w:ilvl="7">
      <w:start w:val="31"/>
      <w:numFmt w:val="decimal"/>
      <w:lvlText w:val="%8."/>
      <w:lvlJc w:val="left"/>
      <w:pPr>
        <w:ind w:left="5760" w:hanging="480"/>
      </w:pPr>
    </w:lvl>
    <w:lvl w:ilvl="8">
      <w:start w:val="31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6">
    <w:abstractNumId w:val="991"/>
  </w:num>
  <w:num w:numId="1007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08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09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10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law.justia.com/cases/connecticut/supreme-court/2025/sc20749.html" TargetMode="External" /><Relationship Type="http://schemas.openxmlformats.org/officeDocument/2006/relationships/hyperlink" Id="rId51" Target="https://law.justia.com/cases/wisconsin/supreme-court/2021/2019ap001404-cr.html" TargetMode="External" /><Relationship Type="http://schemas.openxmlformats.org/officeDocument/2006/relationships/hyperlink" Id="rId37" Target="https://www.canlii.org/en/on/onca/doc/2022/2022onca689/2022onca689.html" TargetMode="External" /><Relationship Type="http://schemas.openxmlformats.org/officeDocument/2006/relationships/hyperlink" Id="rId50" Target="https://www.courtlistener.com/opinion/4896044/state-v-george-steven-burch/" TargetMode="External" /><Relationship Type="http://schemas.openxmlformats.org/officeDocument/2006/relationships/hyperlink" Id="rId44" Target="https://www.jud.ct.gov" TargetMode="External" /><Relationship Type="http://schemas.openxmlformats.org/officeDocument/2006/relationships/hyperlink" Id="rId52" Target="https://www.wicourts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law.justia.com/cases/connecticut/supreme-court/2025/sc20749.html" TargetMode="External" /><Relationship Type="http://schemas.openxmlformats.org/officeDocument/2006/relationships/hyperlink" Id="rId51" Target="https://law.justia.com/cases/wisconsin/supreme-court/2021/2019ap001404-cr.html" TargetMode="External" /><Relationship Type="http://schemas.openxmlformats.org/officeDocument/2006/relationships/hyperlink" Id="rId37" Target="https://www.canlii.org/en/on/onca/doc/2022/2022onca689/2022onca689.html" TargetMode="External" /><Relationship Type="http://schemas.openxmlformats.org/officeDocument/2006/relationships/hyperlink" Id="rId50" Target="https://www.courtlistener.com/opinion/4896044/state-v-george-steven-burch/" TargetMode="External" /><Relationship Type="http://schemas.openxmlformats.org/officeDocument/2006/relationships/hyperlink" Id="rId44" Target="https://www.jud.ct.gov" TargetMode="External" /><Relationship Type="http://schemas.openxmlformats.org/officeDocument/2006/relationships/hyperlink" Id="rId52" Target="https://www.wicourts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2026-07-02T12:28:25Z</dcterms:created>
  <dcterms:modified xsi:type="dcterms:W3CDTF">2026-07-02T12:28:25Z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