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12481cf3d42f24a4481acf69b16913fb2b74ae2"/>
    <w:p>
      <w:pPr>
        <w:pStyle w:val="Heading1"/>
      </w:pPr>
      <w:r>
        <w:t xml:space="preserve">Chapter 17 - The Girl Who Never Held the Knife</w:t>
      </w:r>
    </w:p>
    <w:p>
      <w:pPr>
        <w:pStyle w:val="FirstParagraph"/>
      </w:pPr>
      <w:r>
        <w:rPr>
          <w:bCs/>
          <w:b/>
        </w:rPr>
        <w:t xml:space="preserve">She was fifteen. She never touched the victim. She talked a boy into the</w:t>
      </w:r>
      <w:r>
        <w:rPr>
          <w:bCs/>
          <w:b/>
        </w:rPr>
        <w:t xml:space="preserve"> </w:t>
      </w:r>
      <w:r>
        <w:rPr>
          <w:bCs/>
          <w:b/>
        </w:rPr>
        <w:t xml:space="preserve">stabbing from behind a keyboard, and the law called it first-degree murder.</w:t>
      </w:r>
    </w:p>
    <w:p>
      <w:pPr>
        <w:pStyle w:val="BodyText"/>
      </w:pPr>
      <w:r>
        <w:t xml:space="preserve">On New Year’s Day 2008, seventeen-year-old David Bagshaw stabbed fourteen-year-old</w:t>
      </w:r>
      <w:r>
        <w:t xml:space="preserve"> </w:t>
      </w:r>
      <w:r>
        <w:t xml:space="preserve">Stefanie Rengel to death outside her Toronto home. He was tried separately and</w:t>
      </w:r>
      <w:r>
        <w:t xml:space="preserve"> </w:t>
      </w:r>
      <w:r>
        <w:t xml:space="preserve">convicted of first-degree murder. He was the one who held the knife.</w:t>
      </w:r>
    </w:p>
    <w:p>
      <w:pPr>
        <w:pStyle w:val="BodyText"/>
      </w:pPr>
      <w:r>
        <w:t xml:space="preserve">But the person the Crown put at the center of this killing never met Stefanie</w:t>
      </w:r>
      <w:r>
        <w:t xml:space="preserve"> </w:t>
      </w:r>
      <w:r>
        <w:t xml:space="preserve">Rengel, never went to her house on the day she died, and was not present when</w:t>
      </w:r>
      <w:r>
        <w:t xml:space="preserve"> </w:t>
      </w:r>
      <w:r>
        <w:t xml:space="preserve">she was stabbed. Her name was Melissa Todorovic. She was fifteen years old, she</w:t>
      </w:r>
      <w:r>
        <w:t xml:space="preserve"> </w:t>
      </w:r>
      <w:r>
        <w:t xml:space="preserve">was Bagshaw’s girlfriend, and the theory of the case was that she had</w:t>
      </w:r>
      <w:r>
        <w:t xml:space="preserve"> </w:t>
      </w:r>
      <w:r>
        <w:t xml:space="preserve">counselled and encouraged him to commit the murder; that the crime was, in</w:t>
      </w:r>
      <w:r>
        <w:t xml:space="preserve"> </w:t>
      </w:r>
      <w:r>
        <w:t xml:space="preserve">substance, hers.</w:t>
      </w:r>
    </w:p>
    <w:p>
      <w:pPr>
        <w:pStyle w:val="BodyText"/>
      </w:pPr>
      <w:r>
        <w:t xml:space="preserve">The evidence that made that theory stick was almost entirely a record of things</w:t>
      </w:r>
      <w:r>
        <w:t xml:space="preserve"> </w:t>
      </w:r>
      <w:r>
        <w:t xml:space="preserve">Melissa Todorovic typed.</w:t>
      </w:r>
    </w:p>
    <w:bookmarkStart w:id="20" w:name="a-murder-ordered-by-message"/>
    <w:p>
      <w:pPr>
        <w:pStyle w:val="Heading2"/>
      </w:pPr>
      <w:r>
        <w:t xml:space="preserve">A murder ordered by message</w:t>
      </w:r>
    </w:p>
    <w:p>
      <w:pPr>
        <w:pStyle w:val="FirstParagraph"/>
      </w:pPr>
      <w:r>
        <w:t xml:space="preserve">The Court of Appeal for Ontario’s judgment describes a Crown case</w:t>
      </w:r>
      <w:r>
        <w:t xml:space="preserve"> </w:t>
      </w:r>
      <w:r>
        <w:t xml:space="preserve">“</w:t>
      </w:r>
      <w:r>
        <w:t xml:space="preserve">based on a</w:t>
      </w:r>
      <w:r>
        <w:t xml:space="preserve"> </w:t>
      </w:r>
      <w:r>
        <w:t xml:space="preserve">large body of circumstantial evidence including computer chats by the appellant</w:t>
      </w:r>
      <w:r>
        <w:t xml:space="preserve"> </w:t>
      </w:r>
      <w:r>
        <w:t xml:space="preserve">with Bagshaw and others.</w:t>
      </w:r>
      <w:r>
        <w:t xml:space="preserve">”</w:t>
      </w:r>
      <w:r>
        <w:t xml:space="preserve"> </w:t>
      </w:r>
      <w:r>
        <w:t xml:space="preserve">Those communications, the Crown argued, showed</w:t>
      </w:r>
      <w:r>
        <w:t xml:space="preserve"> </w:t>
      </w:r>
      <w:r>
        <w:t xml:space="preserve">Todorovic was obsessively jealous of Rengel, a girl who had briefly dated</w:t>
      </w:r>
      <w:r>
        <w:t xml:space="preserve"> </w:t>
      </w:r>
      <w:r>
        <w:t xml:space="preserve">Bagshaw years earlier. The jealousy was not a passing mood; it was a campaign,</w:t>
      </w:r>
      <w:r>
        <w:t xml:space="preserve"> </w:t>
      </w:r>
      <w:r>
        <w:t xml:space="preserve">conducted in text and instant message, to get Bagshaw to eliminate the girl she</w:t>
      </w:r>
      <w:r>
        <w:t xml:space="preserve"> </w:t>
      </w:r>
      <w:r>
        <w:t xml:space="preserve">saw as a rival.</w:t>
      </w:r>
    </w:p>
    <w:p>
      <w:pPr>
        <w:pStyle w:val="BodyText"/>
      </w:pPr>
      <w:r>
        <w:t xml:space="preserve">How relentless that campaign was becomes clear from an incident the judgment</w:t>
      </w:r>
      <w:r>
        <w:t xml:space="preserve"> </w:t>
      </w:r>
      <w:r>
        <w:t xml:space="preserve">records as happening about three months before the killing. Bagshaw went to</w:t>
      </w:r>
      <w:r>
        <w:t xml:space="preserve"> </w:t>
      </w:r>
      <w:r>
        <w:t xml:space="preserve">Stefanie Rengel’s home and told her, to her face, that his girlfriend wanted him</w:t>
      </w:r>
      <w:r>
        <w:t xml:space="preserve"> </w:t>
      </w:r>
      <w:r>
        <w:t xml:space="preserve">to stab her. He explained his plan: he would leave his cell phone behind to make</w:t>
      </w:r>
      <w:r>
        <w:t xml:space="preserve"> </w:t>
      </w:r>
      <w:r>
        <w:t xml:space="preserve">it look as though he had been interrupted mid-attempt, and he wanted Stefanie to</w:t>
      </w:r>
      <w:r>
        <w:t xml:space="preserve"> </w:t>
      </w:r>
      <w:r>
        <w:t xml:space="preserve">confirm to his girlfriend that he had tried, so that his girlfriend would leave</w:t>
      </w:r>
      <w:r>
        <w:t xml:space="preserve"> </w:t>
      </w:r>
      <w:r>
        <w:t xml:space="preserve">him alone about it. This was not yet the murder. This was a fourteen-year-old</w:t>
      </w:r>
      <w:r>
        <w:t xml:space="preserve"> </w:t>
      </w:r>
      <w:r>
        <w:t xml:space="preserve">being told, in person, that a girl she had never wronged was demanding her death,</w:t>
      </w:r>
      <w:r>
        <w:t xml:space="preserve"> </w:t>
      </w:r>
      <w:r>
        <w:t xml:space="preserve">and being asked to help fake the attempt to satisfy that demand.</w:t>
      </w:r>
    </w:p>
    <w:p>
      <w:pPr>
        <w:pStyle w:val="BodyText"/>
      </w:pPr>
      <w:r>
        <w:t xml:space="preserve">Stefanie told her mother. Her mother and stepfather, who happen both to be</w:t>
      </w:r>
      <w:r>
        <w:t xml:space="preserve"> </w:t>
      </w:r>
      <w:r>
        <w:t xml:space="preserve">Toronto police officers, confronted Bagshaw and told him and his girlfriend to</w:t>
      </w:r>
      <w:r>
        <w:t xml:space="preserve"> </w:t>
      </w:r>
      <w:r>
        <w:t xml:space="preserve">stay away from their daughter.</w:t>
      </w:r>
    </w:p>
    <w:p>
      <w:pPr>
        <w:pStyle w:val="BodyText"/>
      </w:pPr>
      <w:r>
        <w:t xml:space="preserve">They did not stay away. Three months later, Bagshaw finished what the messages</w:t>
      </w:r>
      <w:r>
        <w:t xml:space="preserve"> </w:t>
      </w:r>
      <w:r>
        <w:t xml:space="preserve">had been pushing him toward.</w:t>
      </w:r>
    </w:p>
    <w:bookmarkEnd w:id="20"/>
    <w:bookmarkStart w:id="21" w:name="the-keyboard-and-the-confession"/>
    <w:p>
      <w:pPr>
        <w:pStyle w:val="Heading2"/>
      </w:pPr>
      <w:r>
        <w:t xml:space="preserve">The keyboard and the confession</w:t>
      </w:r>
    </w:p>
    <w:p>
      <w:pPr>
        <w:pStyle w:val="FirstParagraph"/>
      </w:pPr>
      <w:r>
        <w:t xml:space="preserve">After the killing, Melissa Todorovic did two things that helped convict her, and</w:t>
      </w:r>
      <w:r>
        <w:t xml:space="preserve"> </w:t>
      </w:r>
      <w:r>
        <w:t xml:space="preserve">both were acts of communication.</w:t>
      </w:r>
    </w:p>
    <w:p>
      <w:pPr>
        <w:pStyle w:val="BodyText"/>
      </w:pPr>
      <w:r>
        <w:t xml:space="preserve">First, she called Bagshaw. A friend of his who overheard part of the</w:t>
      </w:r>
      <w:r>
        <w:t xml:space="preserve"> </w:t>
      </w:r>
      <w:r>
        <w:t xml:space="preserve">conversation testified that Todorovic asked him a single question:</w:t>
      </w:r>
      <w:r>
        <w:t xml:space="preserve"> </w:t>
      </w:r>
      <w:r>
        <w:t xml:space="preserve">“</w:t>
      </w:r>
      <w:r>
        <w:t xml:space="preserve">Did you do</w:t>
      </w:r>
      <w:r>
        <w:t xml:space="preserve"> </w:t>
      </w:r>
      <w:r>
        <w:t xml:space="preserve">it?</w:t>
      </w:r>
      <w:r>
        <w:t xml:space="preserve">”</w:t>
      </w:r>
      <w:r>
        <w:t xml:space="preserve"> </w:t>
      </w:r>
      <w:r>
        <w:t xml:space="preserve">It is the question of a person waiting for confirmation that an order has</w:t>
      </w:r>
      <w:r>
        <w:t xml:space="preserve"> </w:t>
      </w:r>
      <w:r>
        <w:t xml:space="preserve">been carried out.</w:t>
      </w:r>
    </w:p>
    <w:p>
      <w:pPr>
        <w:pStyle w:val="BodyText"/>
      </w:pPr>
      <w:r>
        <w:t xml:space="preserve">Second, when police interviewed her, she eventually made an incriminating</w:t>
      </w:r>
      <w:r>
        <w:t xml:space="preserve"> </w:t>
      </w:r>
      <w:r>
        <w:t xml:space="preserve">statement to the effect that she had asked Bagshaw to kill Stefanie Rengel. Much</w:t>
      </w:r>
      <w:r>
        <w:t xml:space="preserve"> </w:t>
      </w:r>
      <w:r>
        <w:t xml:space="preserve">of the appeal turns on the admissibility of that statement and a second one; on</w:t>
      </w:r>
      <w:r>
        <w:t xml:space="preserve"> </w:t>
      </w:r>
      <w:r>
        <w:t xml:space="preserve">whether a fifteen-year-old had been properly given her rights under the Youth</w:t>
      </w:r>
      <w:r>
        <w:t xml:space="preserve"> </w:t>
      </w:r>
      <w:r>
        <w:t xml:space="preserve">Criminal Justice Act and whether she had been detained when she confessed. The</w:t>
      </w:r>
      <w:r>
        <w:t xml:space="preserve"> </w:t>
      </w:r>
      <w:r>
        <w:t xml:space="preserve">Court of Appeal worked carefully through those protections, which exist because</w:t>
      </w:r>
      <w:r>
        <w:t xml:space="preserve"> </w:t>
      </w:r>
      <w:r>
        <w:t xml:space="preserve">the person being questioned was a child, and upheld the trial judge’s rulings.</w:t>
      </w:r>
    </w:p>
    <w:p>
      <w:pPr>
        <w:pStyle w:val="BodyText"/>
      </w:pPr>
      <w:r>
        <w:t xml:space="preserve">A jury convicted Melissa Todorovic of first-degree murder. The trial judge</w:t>
      </w:r>
      <w:r>
        <w:t xml:space="preserve"> </w:t>
      </w:r>
      <w:r>
        <w:t xml:space="preserve">ordered that she, fifteen at the time of the offence, be sentenced as an adult:</w:t>
      </w:r>
      <w:r>
        <w:t xml:space="preserve"> </w:t>
      </w:r>
      <w:r>
        <w:t xml:space="preserve">life imprisonment with no parole eligibility for seven years. On appeal she</w:t>
      </w:r>
      <w:r>
        <w:t xml:space="preserve"> </w:t>
      </w:r>
      <w:r>
        <w:t xml:space="preserve">challenged both the conviction and the adult sentence. In February 2014, the</w:t>
      </w:r>
      <w:r>
        <w:t xml:space="preserve"> </w:t>
      </w:r>
      <w:r>
        <w:t xml:space="preserve">Court of Appeal dismissed both. The sentencing judge, it held, had been entitled</w:t>
      </w:r>
      <w:r>
        <w:t xml:space="preserve"> </w:t>
      </w:r>
      <w:r>
        <w:t xml:space="preserve">to conclude she remained dangerous; the murder had been</w:t>
      </w:r>
      <w:r>
        <w:t xml:space="preserve"> </w:t>
      </w:r>
      <w:r>
        <w:t xml:space="preserve">“</w:t>
      </w:r>
      <w:r>
        <w:t xml:space="preserve">conceived out of the</w:t>
      </w:r>
      <w:r>
        <w:t xml:space="preserve"> </w:t>
      </w:r>
      <w:r>
        <w:t xml:space="preserve">appellant’s distorted view of her relationship with Bagshaw,</w:t>
      </w:r>
      <w:r>
        <w:t xml:space="preserve">”</w:t>
      </w:r>
      <w:r>
        <w:t xml:space="preserve"> </w:t>
      </w:r>
      <w:r>
        <w:t xml:space="preserve">she showed no</w:t>
      </w:r>
      <w:r>
        <w:t xml:space="preserve"> </w:t>
      </w:r>
      <w:r>
        <w:t xml:space="preserve">empathy for the victim, and she</w:t>
      </w:r>
      <w:r>
        <w:t xml:space="preserve"> </w:t>
      </w:r>
      <w:r>
        <w:t xml:space="preserve">“</w:t>
      </w:r>
      <w:r>
        <w:t xml:space="preserve">harboured ongoing thoughts of hurting other</w:t>
      </w:r>
      <w:r>
        <w:t xml:space="preserve"> </w:t>
      </w:r>
      <w:r>
        <w:t xml:space="preserve">persons.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(A note on sourcing: this appeal decision is concerned mainly with the</w:t>
      </w:r>
      <w:r>
        <w:rPr>
          <w:iCs/>
          <w:i/>
        </w:rPr>
        <w:t xml:space="preserve"> </w:t>
      </w:r>
      <w:r>
        <w:rPr>
          <w:iCs/>
          <w:i/>
        </w:rPr>
        <w:t xml:space="preserve">admissibility of Todorovic’s police statements and her adult sentence, so it</w:t>
      </w:r>
      <w:r>
        <w:rPr>
          <w:iCs/>
          <w:i/>
        </w:rPr>
        <w:t xml:space="preserve"> </w:t>
      </w:r>
      <w:r>
        <w:rPr>
          <w:iCs/>
          <w:i/>
        </w:rPr>
        <w:t xml:space="preserve">summarizes the messaging evidence rather than quoting it at length. The detailed</w:t>
      </w:r>
      <w:r>
        <w:rPr>
          <w:iCs/>
          <w:i/>
        </w:rPr>
        <w:t xml:space="preserve"> </w:t>
      </w:r>
      <w:r>
        <w:rPr>
          <w:iCs/>
          <w:i/>
        </w:rPr>
        <w:t xml:space="preserve">content of the chats, widely reported at trial, lives in the trial record; this</w:t>
      </w:r>
      <w:r>
        <w:rPr>
          <w:iCs/>
          <w:i/>
        </w:rPr>
        <w:t xml:space="preserve"> </w:t>
      </w:r>
      <w:r>
        <w:rPr>
          <w:iCs/>
          <w:i/>
        </w:rPr>
        <w:t xml:space="preserve">chapter stays with what the appellate judgment sets out.)</w:t>
      </w:r>
    </w:p>
    <w:bookmarkEnd w:id="21"/>
    <w:bookmarkStart w:id="23" w:name="howd-she-get-caught"/>
    <w:p>
      <w:pPr>
        <w:pStyle w:val="Heading2"/>
      </w:pPr>
      <w:r>
        <w:t xml:space="preserve">How’d she get caught?</w:t>
      </w:r>
    </w:p>
    <w:p>
      <w:pPr>
        <w:pStyle w:val="FirstParagraph"/>
      </w:pPr>
      <w:r>
        <w:t xml:space="preserve">She was caught because counselling a murder, in the age of the instant message,</w:t>
      </w:r>
      <w:r>
        <w:t xml:space="preserve"> </w:t>
      </w:r>
      <w:r>
        <w:t xml:space="preserve">leaves the same kind of evidence trail as committing one. Melissa Todorovic</w:t>
      </w:r>
      <w:r>
        <w:t xml:space="preserve"> </w:t>
      </w:r>
      <w:r>
        <w:t xml:space="preserve">never had to be at the scene, never had to hold the weapon, never had to get</w:t>
      </w:r>
      <w:r>
        <w:t xml:space="preserve"> </w:t>
      </w:r>
      <w:r>
        <w:t xml:space="preserve">blood on her hands. She directed a killing through a boyfriend she could work on</w:t>
      </w:r>
      <w:r>
        <w:t xml:space="preserve"> </w:t>
      </w:r>
      <w:r>
        <w:t xml:space="preserve">day and night through a screen. But every push, every demand, every expression</w:t>
      </w:r>
      <w:r>
        <w:t xml:space="preserve"> </w:t>
      </w:r>
      <w:r>
        <w:t xml:space="preserve">of the jealousy that drove it existed as data on a device, and the law of</w:t>
      </w:r>
      <w:r>
        <w:t xml:space="preserve"> </w:t>
      </w:r>
      <w:r>
        <w:t xml:space="preserve">counselling murder does not require your hand on the knife; it requires proof</w:t>
      </w:r>
      <w:r>
        <w:t xml:space="preserve"> </w:t>
      </w:r>
      <w:r>
        <w:t xml:space="preserve">that you put it in someone else’s. The chats were that proof. In this case, the</w:t>
      </w:r>
      <w:r>
        <w:t xml:space="preserve"> </w:t>
      </w:r>
      <w:r>
        <w:t xml:space="preserve">messages were not evidence of the crime. They were the crime.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R. v. Todorovic</w:t>
      </w:r>
      <w:r>
        <w:t xml:space="preserve">, 2014 ONCA 153, Court of</w:t>
      </w:r>
      <w:r>
        <w:t xml:space="preserve"> </w:t>
      </w:r>
      <w:r>
        <w:t xml:space="preserve">Appeal for Ontario, decided February 27, 2014 (Rosenberg J.A.; Rouleau and</w:t>
      </w:r>
      <w:r>
        <w:t xml:space="preserve"> </w:t>
      </w:r>
      <w:r>
        <w:t xml:space="preserve">Pardu JJ.A. concurring).</w:t>
      </w:r>
      <w:r>
        <w:t xml:space="preserve"> </w:t>
      </w:r>
      <w:r>
        <w:t xml:space="preserve">Free online:</w:t>
      </w:r>
      <w:r>
        <w:t xml:space="preserve"> </w:t>
      </w:r>
      <w:hyperlink r:id="rId22">
        <w:r>
          <w:rPr>
            <w:rStyle w:val="Hyperlink"/>
          </w:rPr>
          <w:t xml:space="preserve">CanLII</w:t>
        </w:r>
      </w:hyperlink>
      <w:r>
        <w:t xml:space="preserve">.</w:t>
      </w:r>
      <w:r>
        <w:t xml:space="preserve"> </w:t>
      </w:r>
      <w:r>
        <w:t xml:space="preserve">The factual overview is at paras. 3-6; the analysis of her police statements</w:t>
      </w:r>
      <w:r>
        <w:t xml:space="preserve"> </w:t>
      </w:r>
      <w:r>
        <w:t xml:space="preserve">and the adult-sentence decision follows.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www.canlii.org/en/on/onca/doc/2014/2014onca153/2014onca153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canlii.org/en/on/onca/doc/2014/2014onca153/2014onca153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2026-07-02T13:29:53Z</dcterms:created>
  <dcterms:modified xsi:type="dcterms:W3CDTF">2026-07-02T13:29:53Z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