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286e49a5d2835d1750bbfc5643f89e51b5db7b"/>
    <w:p>
      <w:pPr>
        <w:pStyle w:val="Heading1"/>
      </w:pPr>
      <w:r>
        <w:t xml:space="preserve">Chapter 24 - The Residue Doesn’t Lie, But It Doesn’t Explain</w:t>
      </w:r>
    </w:p>
    <w:p>
      <w:pPr>
        <w:pStyle w:val="FirstParagraph"/>
      </w:pPr>
      <w:r>
        <w:rPr>
          <w:bCs/>
          <w:b/>
        </w:rPr>
        <w:t xml:space="preserve">A single particle of lead, antimony, and barium, fused by the heat of a</w:t>
      </w:r>
      <w:r>
        <w:rPr>
          <w:bCs/>
          <w:b/>
        </w:rPr>
        <w:t xml:space="preserve"> </w:t>
      </w:r>
      <w:r>
        <w:rPr>
          <w:bCs/>
          <w:b/>
        </w:rPr>
        <w:t xml:space="preserve">gunshot, does not tell you whose gun it was. It just tells you that you were</w:t>
      </w:r>
      <w:r>
        <w:rPr>
          <w:bCs/>
          <w:b/>
        </w:rPr>
        <w:t xml:space="preserve"> </w:t>
      </w:r>
      <w:r>
        <w:rPr>
          <w:bCs/>
          <w:b/>
        </w:rPr>
        <w:t xml:space="preserve">close to one.</w:t>
      </w:r>
    </w:p>
    <w:p>
      <w:pPr>
        <w:pStyle w:val="BodyText"/>
      </w:pPr>
      <w:r>
        <w:t xml:space="preserve">At about 7:20 in the evening on December 23, 2006, Stefanie Stevenson walked</w:t>
      </w:r>
      <w:r>
        <w:t xml:space="preserve"> </w:t>
      </w:r>
      <w:r>
        <w:t xml:space="preserve">the short distance from her home to her van. She was leaving for a shift at the</w:t>
      </w:r>
      <w:r>
        <w:t xml:space="preserve"> </w:t>
      </w:r>
      <w:r>
        <w:t xml:space="preserve">local hospital. An assailant who had been waiting beside her house stepped out</w:t>
      </w:r>
      <w:r>
        <w:t xml:space="preserve"> </w:t>
      </w:r>
      <w:r>
        <w:t xml:space="preserve">and shot her once in the head.</w:t>
      </w:r>
    </w:p>
    <w:p>
      <w:pPr>
        <w:pStyle w:val="BodyText"/>
      </w:pPr>
      <w:r>
        <w:t xml:space="preserve">About two hours later, her estranged husband, Andrew Stevenson, was under</w:t>
      </w:r>
      <w:r>
        <w:t xml:space="preserve"> </w:t>
      </w:r>
      <w:r>
        <w:t xml:space="preserve">arrest and charged with first-degree murder.</w:t>
      </w:r>
    </w:p>
    <w:p>
      <w:pPr>
        <w:pStyle w:val="BodyText"/>
      </w:pPr>
      <w:r>
        <w:t xml:space="preserve">There was no dispute at trial that whoever fired that shot was guilty of</w:t>
      </w:r>
      <w:r>
        <w:t xml:space="preserve"> </w:t>
      </w:r>
      <w:r>
        <w:t xml:space="preserve">first-degree murder. This was not a robbery gone wrong; the killer had lain in</w:t>
      </w:r>
      <w:r>
        <w:t xml:space="preserve"> </w:t>
      </w:r>
      <w:r>
        <w:t xml:space="preserve">wait. The only question, the only issue in the entire case, was identity. Who</w:t>
      </w:r>
      <w:r>
        <w:t xml:space="preserve"> </w:t>
      </w:r>
      <w:r>
        <w:t xml:space="preserve">was the person beside the house? There were no eyewitnesses. The murder weapon</w:t>
      </w:r>
      <w:r>
        <w:t xml:space="preserve"> </w:t>
      </w:r>
      <w:r>
        <w:t xml:space="preserve">was never found. Andrew Stevenson did not testify. The Crown’s case was</w:t>
      </w:r>
      <w:r>
        <w:t xml:space="preserve"> </w:t>
      </w:r>
      <w:r>
        <w:t xml:space="preserve">entirely circumstantial, and one of its most important circumstances was</w:t>
      </w:r>
      <w:r>
        <w:t xml:space="preserve"> </w:t>
      </w:r>
      <w:r>
        <w:t xml:space="preserve">microscopic.</w:t>
      </w:r>
    </w:p>
    <w:bookmarkStart w:id="20" w:name="X88a9e341a86925c586640a762c38386b85799e5"/>
    <w:p>
      <w:pPr>
        <w:pStyle w:val="Heading2"/>
      </w:pPr>
      <w:r>
        <w:t xml:space="preserve">Motive, opportunity, and an unaccounted hour</w:t>
      </w:r>
    </w:p>
    <w:p>
      <w:pPr>
        <w:pStyle w:val="FirstParagraph"/>
      </w:pPr>
      <w:r>
        <w:t xml:space="preserve">Before the science, the ordinary evidence pointed toward the husband, though</w:t>
      </w:r>
      <w:r>
        <w:t xml:space="preserve"> </w:t>
      </w:r>
      <w:r>
        <w:t xml:space="preserve">never cleanly.</w:t>
      </w:r>
    </w:p>
    <w:p>
      <w:pPr>
        <w:pStyle w:val="BodyText"/>
      </w:pPr>
      <w:r>
        <w:t xml:space="preserve">The couple had separated thirteen months earlier and were divorcing. Stevenson</w:t>
      </w:r>
      <w:r>
        <w:t xml:space="preserve"> </w:t>
      </w:r>
      <w:r>
        <w:t xml:space="preserve">believed his wife had cheated during the marriage and carried what the judgment</w:t>
      </w:r>
      <w:r>
        <w:t xml:space="preserve"> </w:t>
      </w:r>
      <w:r>
        <w:t xml:space="preserve">calls</w:t>
      </w:r>
      <w:r>
        <w:t xml:space="preserve"> </w:t>
      </w:r>
      <w:r>
        <w:t xml:space="preserve">“</w:t>
      </w:r>
      <w:r>
        <w:t xml:space="preserve">a considerable grudge</w:t>
      </w:r>
      <w:r>
        <w:t xml:space="preserve">”</w:t>
      </w:r>
      <w:r>
        <w:t xml:space="preserve">; he had been convicted of threatening her only</w:t>
      </w:r>
      <w:r>
        <w:t xml:space="preserve"> </w:t>
      </w:r>
      <w:r>
        <w:t xml:space="preserve">months before, in the summer of 2006. The day before she was killed, Stefanie</w:t>
      </w:r>
      <w:r>
        <w:t xml:space="preserve"> </w:t>
      </w:r>
      <w:r>
        <w:t xml:space="preserve">told him she had rejected his latest financial settlement offer, roughly</w:t>
      </w:r>
      <w:r>
        <w:t xml:space="preserve"> </w:t>
      </w:r>
      <w:r>
        <w:t xml:space="preserve">$30,000, and that he would be hearing from her lawyer. There was evidence he</w:t>
      </w:r>
      <w:r>
        <w:t xml:space="preserve"> </w:t>
      </w:r>
      <w:r>
        <w:t xml:space="preserve">was upset she had begun living with another man, and had said he did not want</w:t>
      </w:r>
      <w:r>
        <w:t xml:space="preserve"> </w:t>
      </w:r>
      <w:r>
        <w:t xml:space="preserve">another man raising his children. He also knew the things a lurking killer would</w:t>
      </w:r>
      <w:r>
        <w:t xml:space="preserve"> </w:t>
      </w:r>
      <w:r>
        <w:t xml:space="preserve">need to know: that she had moved into this home about three weeks earlier, and</w:t>
      </w:r>
      <w:r>
        <w:t xml:space="preserve"> </w:t>
      </w:r>
      <w:r>
        <w:t xml:space="preserve">her work schedule, because he took their daughters while she worked.</w:t>
      </w:r>
    </w:p>
    <w:p>
      <w:pPr>
        <w:pStyle w:val="BodyText"/>
      </w:pPr>
      <w:r>
        <w:t xml:space="preserve">But the Court of Appeal was careful to record that motive</w:t>
      </w:r>
      <w:r>
        <w:t xml:space="preserve"> </w:t>
      </w:r>
      <w:r>
        <w:t xml:space="preserve">“</w:t>
      </w:r>
      <w:r>
        <w:t xml:space="preserve">did not point only</w:t>
      </w:r>
      <w:r>
        <w:t xml:space="preserve"> </w:t>
      </w:r>
      <w:r>
        <w:t xml:space="preserve">in one direction.</w:t>
      </w:r>
      <w:r>
        <w:t xml:space="preserve">”</w:t>
      </w:r>
      <w:r>
        <w:t xml:space="preserve"> </w:t>
      </w:r>
      <w:r>
        <w:t xml:space="preserve">The two were largely getting along about the children; the</w:t>
      </w:r>
      <w:r>
        <w:t xml:space="preserve"> </w:t>
      </w:r>
      <w:r>
        <w:t xml:space="preserve">settlement conversation had not been acrimonious; Stevenson was in a new</w:t>
      </w:r>
      <w:r>
        <w:t xml:space="preserve"> </w:t>
      </w:r>
      <w:r>
        <w:t xml:space="preserve">relationship and appeared to have moved on.</w:t>
      </w:r>
    </w:p>
    <w:p>
      <w:pPr>
        <w:pStyle w:val="BodyText"/>
      </w:pPr>
      <w:r>
        <w:t xml:space="preserve">Opportunity had the same shape: suggestive, not conclusive. He left his</w:t>
      </w:r>
      <w:r>
        <w:t xml:space="preserve"> </w:t>
      </w:r>
      <w:r>
        <w:t xml:space="preserve">sister’s home near Brockville around 5:00 p.m., and video surveillance tracked</w:t>
      </w:r>
      <w:r>
        <w:t xml:space="preserve"> </w:t>
      </w:r>
      <w:r>
        <w:t xml:space="preserve">him Christmas shopping until 6:35 p.m., when he was filmed at a McDonald’s about</w:t>
      </w:r>
      <w:r>
        <w:t xml:space="preserve"> </w:t>
      </w:r>
      <w:r>
        <w:t xml:space="preserve">twenty minutes from the murder scene. Stefanie was killed between 7:20 and 7:25.</w:t>
      </w:r>
      <w:r>
        <w:t xml:space="preserve"> </w:t>
      </w:r>
      <w:r>
        <w:t xml:space="preserve">He arrived back at his sister’s home, a twenty-to-twenty-five-minute drive from</w:t>
      </w:r>
      <w:r>
        <w:t xml:space="preserve"> </w:t>
      </w:r>
      <w:r>
        <w:t xml:space="preserve">the scene, around 8:30. The stretch between 6:35 and 8:30, the window that</w:t>
      </w:r>
      <w:r>
        <w:t xml:space="preserve"> </w:t>
      </w:r>
      <w:r>
        <w:t xml:space="preserve">contained the murder, was simply unaccounted for.</w:t>
      </w:r>
    </w:p>
    <w:p>
      <w:pPr>
        <w:pStyle w:val="BodyText"/>
      </w:pPr>
      <w:r>
        <w:t xml:space="preserve">That is a case that needs a piece of physical evidence to close the gap. The</w:t>
      </w:r>
      <w:r>
        <w:t xml:space="preserve"> </w:t>
      </w:r>
      <w:r>
        <w:t xml:space="preserve">Crown’s was gunshot residue.</w:t>
      </w:r>
    </w:p>
    <w:bookmarkEnd w:id="20"/>
    <w:bookmarkStart w:id="21" w:name="X3b54e7c42de35d6c39964b70e410a725933d7ea"/>
    <w:p>
      <w:pPr>
        <w:pStyle w:val="Heading2"/>
      </w:pPr>
      <w:r>
        <w:t xml:space="preserve">What the particles were, and what they weren’t</w:t>
      </w:r>
    </w:p>
    <w:p>
      <w:pPr>
        <w:pStyle w:val="FirstParagraph"/>
      </w:pPr>
      <w:r>
        <w:t xml:space="preserve">When the police arrested Stevenson, they wrapped his hands in plastic bags to</w:t>
      </w:r>
      <w:r>
        <w:t xml:space="preserve"> </w:t>
      </w:r>
      <w:r>
        <w:t xml:space="preserve">preserve any residue, and later daubed his hands and seized his clothing for</w:t>
      </w:r>
      <w:r>
        <w:t xml:space="preserve"> </w:t>
      </w:r>
      <w:r>
        <w:t xml:space="preserve">testing at the Centre of Forensic Sciences.</w:t>
      </w:r>
    </w:p>
    <w:p>
      <w:pPr>
        <w:pStyle w:val="BodyText"/>
      </w:pPr>
      <w:r>
        <w:t xml:space="preserve">The results were substantial. Examiners found two gunshot-residue particles on</w:t>
      </w:r>
      <w:r>
        <w:t xml:space="preserve"> </w:t>
      </w:r>
      <w:r>
        <w:t xml:space="preserve">the back of his left hand, nine on the web of his right hand, thirteen on the</w:t>
      </w:r>
      <w:r>
        <w:t xml:space="preserve"> </w:t>
      </w:r>
      <w:r>
        <w:t xml:space="preserve">back of his right hand, and more on his jacket sleeve and on the front and back</w:t>
      </w:r>
      <w:r>
        <w:t xml:space="preserve"> </w:t>
      </w:r>
      <w:r>
        <w:t xml:space="preserve">of his pants. These were not loose approximations. A particle counts as GSR only</w:t>
      </w:r>
      <w:r>
        <w:t xml:space="preserve"> </w:t>
      </w:r>
      <w:r>
        <w:t xml:space="preserve">if it contains all three elements, lead, antimony, and barium, fused together by</w:t>
      </w:r>
      <w:r>
        <w:t xml:space="preserve"> </w:t>
      </w:r>
      <w:r>
        <w:t xml:space="preserve">the heat and pressure of a firearm discharging. The forensic scientist explained</w:t>
      </w:r>
      <w:r>
        <w:t xml:space="preserve"> </w:t>
      </w:r>
      <w:r>
        <w:t xml:space="preserve">that such particles are environmentally persistent, they do not easily degrade,</w:t>
      </w:r>
      <w:r>
        <w:t xml:space="preserve"> </w:t>
      </w:r>
      <w:r>
        <w:t xml:space="preserve">and, crucially, they are easily transferred from surface to surface by simple</w:t>
      </w:r>
      <w:r>
        <w:t xml:space="preserve"> </w:t>
      </w:r>
      <w:r>
        <w:t xml:space="preserve">contact.</w:t>
      </w:r>
    </w:p>
    <w:p>
      <w:pPr>
        <w:pStyle w:val="BodyText"/>
      </w:pPr>
      <w:r>
        <w:t xml:space="preserve">That last property is the hinge of the whole case, and the reason this chapter</w:t>
      </w:r>
      <w:r>
        <w:t xml:space="preserve"> </w:t>
      </w:r>
      <w:r>
        <w:t xml:space="preserve">sits a little uneasily among the others in this book. As the expert testified,</w:t>
      </w:r>
      <w:r>
        <w:t xml:space="preserve"> </w:t>
      </w:r>
      <w:r>
        <w:t xml:space="preserve">and as the Court of Appeal emphasized, the presence of GSR on a person’s hands</w:t>
      </w:r>
      <w:r>
        <w:t xml:space="preserve"> </w:t>
      </w:r>
      <w:r>
        <w:t xml:space="preserve">“</w:t>
      </w:r>
      <w:r>
        <w:t xml:space="preserve">does not assist in identifying how the particles came to be</w:t>
      </w:r>
      <w:r>
        <w:t xml:space="preserve">”</w:t>
      </w:r>
      <w:r>
        <w:t xml:space="preserve"> </w:t>
      </w:r>
      <w:r>
        <w:t xml:space="preserve">there. The</w:t>
      </w:r>
      <w:r>
        <w:t xml:space="preserve"> </w:t>
      </w:r>
      <w:r>
        <w:t xml:space="preserve">residue proves proximity to a fired gun. It does not, by itself, prove you</w:t>
      </w:r>
      <w:r>
        <w:t xml:space="preserve"> </w:t>
      </w:r>
      <w:r>
        <w:t xml:space="preserve">fired it. The defence pressed exactly this point, raising innocent possibilities</w:t>
      </w:r>
      <w:r>
        <w:t xml:space="preserve"> </w:t>
      </w:r>
      <w:r>
        <w:t xml:space="preserve">including transfer after the arrest, from the hands of officers or from surfaces</w:t>
      </w:r>
      <w:r>
        <w:t xml:space="preserve"> </w:t>
      </w:r>
      <w:r>
        <w:t xml:space="preserve">in police custody.</w:t>
      </w:r>
    </w:p>
    <w:p>
      <w:pPr>
        <w:pStyle w:val="BodyText"/>
      </w:pPr>
      <w:r>
        <w:t xml:space="preserve">The admissibility and the proper use of that evidence formed the main ground of</w:t>
      </w:r>
      <w:r>
        <w:t xml:space="preserve"> </w:t>
      </w:r>
      <w:r>
        <w:t xml:space="preserve">appeal. The Court of Appeal for Ontario examined how the residue had been</w:t>
      </w:r>
      <w:r>
        <w:t xml:space="preserve"> </w:t>
      </w:r>
      <w:r>
        <w:t xml:space="preserve">presented to the jury and, in November 2014, dismissed the appeal. The GSR</w:t>
      </w:r>
      <w:r>
        <w:t xml:space="preserve"> </w:t>
      </w:r>
      <w:r>
        <w:t xml:space="preserve">evidence was properly admitted. Combined with the lying-in-wait shooting, the</w:t>
      </w:r>
      <w:r>
        <w:t xml:space="preserve"> </w:t>
      </w:r>
      <w:r>
        <w:t xml:space="preserve">grudge, the killer’s knowledge of the victim’s new home and schedule, and the</w:t>
      </w:r>
      <w:r>
        <w:t xml:space="preserve"> </w:t>
      </w:r>
      <w:r>
        <w:t xml:space="preserve">unaccounted-for hour, the particles on Andrew Stevenson’s hands helped a jury</w:t>
      </w:r>
      <w:r>
        <w:t xml:space="preserve"> </w:t>
      </w:r>
      <w:r>
        <w:t xml:space="preserve">conclude, beyond a reasonable doubt, that the man waiting beside the house was</w:t>
      </w:r>
      <w:r>
        <w:t xml:space="preserve"> </w:t>
      </w:r>
      <w:r>
        <w:t xml:space="preserve">her husband.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a constellation, not a single star. No one saw the shooter; no</w:t>
      </w:r>
      <w:r>
        <w:t xml:space="preserve"> </w:t>
      </w:r>
      <w:r>
        <w:t xml:space="preserve">one found the gun. What the Crown assembled instead was a killer who knew where</w:t>
      </w:r>
      <w:r>
        <w:t xml:space="preserve"> </w:t>
      </w:r>
      <w:r>
        <w:t xml:space="preserve">the victim now lived and when she left for work, a husband with a grudge and a</w:t>
      </w:r>
      <w:r>
        <w:t xml:space="preserve"> </w:t>
      </w:r>
      <w:r>
        <w:t xml:space="preserve">fresh financial grievance, an hour on the night of the murder that he could not</w:t>
      </w:r>
      <w:r>
        <w:t xml:space="preserve"> </w:t>
      </w:r>
      <w:r>
        <w:t xml:space="preserve">explain, and then the residue: dozens of three-element particles across both</w:t>
      </w:r>
      <w:r>
        <w:t xml:space="preserve"> </w:t>
      </w:r>
      <w:r>
        <w:t xml:space="preserve">hands and his clothing, the signature left by standing next to a gun at the</w:t>
      </w:r>
      <w:r>
        <w:t xml:space="preserve"> </w:t>
      </w:r>
      <w:r>
        <w:t xml:space="preserve">instant it fires. Any one of those facts had an innocent explanation. The</w:t>
      </w:r>
      <w:r>
        <w:t xml:space="preserve"> </w:t>
      </w:r>
      <w:r>
        <w:t xml:space="preserve">gunshot residue could transfer. The hour could be spent anywhere. The grudge</w:t>
      </w:r>
      <w:r>
        <w:t xml:space="preserve"> </w:t>
      </w:r>
      <w:r>
        <w:t xml:space="preserve">could be just a grudge. It was the improbability of all of them landing on the</w:t>
      </w:r>
      <w:r>
        <w:t xml:space="preserve"> </w:t>
      </w:r>
      <w:r>
        <w:t xml:space="preserve">same man, on the same night, that a jury found could not be explained away.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Stevenson</w:t>
      </w:r>
      <w:r>
        <w:t xml:space="preserve">, 2014 ONCA 842, Court of</w:t>
      </w:r>
      <w:r>
        <w:t xml:space="preserve"> </w:t>
      </w:r>
      <w:r>
        <w:t xml:space="preserve">Appeal for Ontario, decided November 26, 2014 (Doherty J.A.; Rouleau and</w:t>
      </w:r>
      <w:r>
        <w:t xml:space="preserve"> </w:t>
      </w:r>
      <w:r>
        <w:t xml:space="preserve">Epstein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evidence is grouped under six headings beginning at para. 4; the detailed</w:t>
      </w:r>
      <w:r>
        <w:t xml:space="preserve"> </w:t>
      </w:r>
      <w:r>
        <w:t xml:space="preserve">GSR findings and the admissibility analysis follow.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842/2014onca84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842/2014onca84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2026-07-02T13:29:54Z</dcterms:created>
  <dcterms:modified xsi:type="dcterms:W3CDTF">2026-07-02T13:29:54Z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