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hapter-19-the-letter-from-the-grave"/>
    <w:p>
      <w:pPr>
        <w:pStyle w:val="Heading1"/>
      </w:pPr>
      <w:r>
        <w:t xml:space="preserve">Chapter 19 — The Letter From the Grave</w:t>
      </w:r>
    </w:p>
    <w:p>
      <w:pPr>
        <w:pStyle w:val="FirstParagraph"/>
      </w:pPr>
      <w:r>
        <w:rPr>
          <w:bCs/>
          <w:b/>
        </w:rPr>
        <w:t xml:space="preserve">Two weeks before she died, Julie Jensen told a police officer: if anything</w:t>
      </w:r>
      <w:r>
        <w:rPr>
          <w:bCs/>
          <w:b/>
        </w:rPr>
        <w:t xml:space="preserve"> </w:t>
      </w:r>
      <w:r>
        <w:rPr>
          <w:bCs/>
          <w:b/>
        </w:rPr>
        <w:t xml:space="preserve">happens to me, my husband should be your first suspect.</w:t>
      </w:r>
    </w:p>
    <w:p>
      <w:pPr>
        <w:pStyle w:val="BodyText"/>
      </w:pPr>
      <w:r>
        <w:t xml:space="preserve">Most murder victims never get to testify. Julie Jensen tried anyway.</w:t>
      </w:r>
    </w:p>
    <w:p>
      <w:pPr>
        <w:pStyle w:val="BodyText"/>
      </w:pPr>
      <w:r>
        <w:t xml:space="preserve">In the fall of 1998, in Pleasant Prairie, Wisconsin, Julie was living in fear</w:t>
      </w:r>
      <w:r>
        <w:t xml:space="preserve"> </w:t>
      </w:r>
      <w:r>
        <w:t xml:space="preserve">that she did not know how to prove. So she did two things. She wrote a letter,</w:t>
      </w:r>
      <w:r>
        <w:t xml:space="preserve"> </w:t>
      </w:r>
      <w:r>
        <w:t xml:space="preserve">sealed it, and gave it to her neighbor — with instructions to hand it to the</w:t>
      </w:r>
      <w:r>
        <w:t xml:space="preserve"> </w:t>
      </w:r>
      <w:r>
        <w:t xml:space="preserve">police if anything should happen to her. And she left two voicemails for</w:t>
      </w:r>
      <w:r>
        <w:t xml:space="preserve"> </w:t>
      </w:r>
      <w:r>
        <w:t xml:space="preserve">Pleasant Prairie Police Officer Ron Kosman, telling him that if she were found</w:t>
      </w:r>
      <w:r>
        <w:t xml:space="preserve"> </w:t>
      </w:r>
      <w:r>
        <w:t xml:space="preserve">dead, her husband Mark should be his</w:t>
      </w:r>
      <w:r>
        <w:t xml:space="preserve"> </w:t>
      </w:r>
      <w:r>
        <w:t xml:space="preserve">“</w:t>
      </w:r>
      <w:r>
        <w:t xml:space="preserve">first suspect.</w:t>
      </w:r>
      <w:r>
        <w:t xml:space="preserve">”</w:t>
      </w:r>
    </w:p>
    <w:p>
      <w:pPr>
        <w:pStyle w:val="BodyText"/>
      </w:pPr>
      <w:r>
        <w:t xml:space="preserve">Then, on December 3, 1998, Julie Jensen died of poisoning.</w:t>
      </w:r>
    </w:p>
    <w:p>
      <w:pPr>
        <w:pStyle w:val="BodyText"/>
      </w:pPr>
      <w:r>
        <w:t xml:space="preserve">She was right about everything except how long it would take. The letter she</w:t>
      </w:r>
      <w:r>
        <w:t xml:space="preserve"> </w:t>
      </w:r>
      <w:r>
        <w:t xml:space="preserve">left behind became the center of one of the longest evidentiary wars in</w:t>
      </w:r>
      <w:r>
        <w:t xml:space="preserve"> </w:t>
      </w:r>
      <w:r>
        <w:t xml:space="preserve">American criminal law — a quarter-century battle over a question that sounds</w:t>
      </w:r>
      <w:r>
        <w:t xml:space="preserve"> </w:t>
      </w:r>
      <w:r>
        <w:t xml:space="preserve">simple and is anything but:</w:t>
      </w:r>
      <w:r>
        <w:t xml:space="preserve"> </w:t>
      </w:r>
      <w:r>
        <w:rPr>
          <w:iCs/>
          <w:i/>
        </w:rPr>
        <w:t xml:space="preserve">can a murdered woman accuse her killer from the</w:t>
      </w:r>
      <w:r>
        <w:rPr>
          <w:iCs/>
          <w:i/>
        </w:rPr>
        <w:t xml:space="preserve"> </w:t>
      </w:r>
      <w:r>
        <w:rPr>
          <w:iCs/>
          <w:i/>
        </w:rPr>
        <w:t xml:space="preserve">grave?</w:t>
      </w:r>
    </w:p>
    <w:bookmarkStart w:id="20" w:name="the-charge-and-the-earthquake"/>
    <w:p>
      <w:pPr>
        <w:pStyle w:val="Heading2"/>
      </w:pPr>
      <w:r>
        <w:t xml:space="preserve">The charge, and the earthquake</w:t>
      </w:r>
    </w:p>
    <w:p>
      <w:pPr>
        <w:pStyle w:val="FirstParagraph"/>
      </w:pPr>
      <w:r>
        <w:t xml:space="preserve">Mark Jensen was charged with first-degree intentional homicide in 2002, four</w:t>
      </w:r>
      <w:r>
        <w:t xml:space="preserve"> </w:t>
      </w:r>
      <w:r>
        <w:t xml:space="preserve">years after Julie’s death. The State’s theory was that Mark — entangled in an</w:t>
      </w:r>
      <w:r>
        <w:t xml:space="preserve"> </w:t>
      </w:r>
      <w:r>
        <w:t xml:space="preserve">affair — had poisoned his wife and dressed her death as a suicide, and that</w:t>
      </w:r>
      <w:r>
        <w:t xml:space="preserve"> </w:t>
      </w:r>
      <w:r>
        <w:t xml:space="preserve">Julie, sensing what was coming, had left her letter precisely because she</w:t>
      </w:r>
      <w:r>
        <w:t xml:space="preserve"> </w:t>
      </w:r>
      <w:r>
        <w:t xml:space="preserve">feared he would kill her and call it self-inflicted. Her letter and voicemails</w:t>
      </w:r>
      <w:r>
        <w:t xml:space="preserve"> </w:t>
      </w:r>
      <w:r>
        <w:t xml:space="preserve">were the answer to the suicide story, delivered in her own voice.</w:t>
      </w:r>
    </w:p>
    <w:p>
      <w:pPr>
        <w:pStyle w:val="BodyText"/>
      </w:pPr>
      <w:r>
        <w:t xml:space="preserve">The trial court initially ruled the letter admissible. Then, in 2004, while</w:t>
      </w:r>
      <w:r>
        <w:t xml:space="preserve"> </w:t>
      </w:r>
      <w:r>
        <w:t xml:space="preserve">the case was still in pretrial hearings, the United States Supreme Court</w:t>
      </w:r>
      <w:r>
        <w:t xml:space="preserve"> </w:t>
      </w:r>
      <w:r>
        <w:t xml:space="preserve">decided</w:t>
      </w:r>
      <w:r>
        <w:t xml:space="preserve"> </w:t>
      </w:r>
      <w:r>
        <w:rPr>
          <w:iCs/>
          <w:i/>
        </w:rPr>
        <w:t xml:space="preserve">Crawford v. Washington</w:t>
      </w:r>
      <w:r>
        <w:t xml:space="preserve"> </w:t>
      </w:r>
      <w:r>
        <w:t xml:space="preserve">— an earthquake that rewrote the law of the</w:t>
      </w:r>
      <w:r>
        <w:t xml:space="preserve"> </w:t>
      </w:r>
      <w:r>
        <w:t xml:space="preserve">Confrontation Clause. After</w:t>
      </w:r>
      <w:r>
        <w:t xml:space="preserve"> </w:t>
      </w:r>
      <w:r>
        <w:rPr>
          <w:iCs/>
          <w:i/>
        </w:rPr>
        <w:t xml:space="preserve">Crawford</w:t>
      </w:r>
      <w:r>
        <w:t xml:space="preserve">, an absent witness’s</w:t>
      </w:r>
      <w:r>
        <w:t xml:space="preserve"> </w:t>
      </w:r>
      <w:r>
        <w:t xml:space="preserve">“</w:t>
      </w:r>
      <w:r>
        <w:t xml:space="preserve">testimonial</w:t>
      </w:r>
      <w:r>
        <w:t xml:space="preserve">”</w:t>
      </w:r>
      <w:r>
        <w:t xml:space="preserve"> </w:t>
      </w:r>
      <w:r>
        <w:t xml:space="preserve">statement cannot be used against a defendant who never had the chance to</w:t>
      </w:r>
      <w:r>
        <w:t xml:space="preserve"> </w:t>
      </w:r>
      <w:r>
        <w:t xml:space="preserve">cross-examine her. And Julie — the witness at the heart of the case — could</w:t>
      </w:r>
      <w:r>
        <w:t xml:space="preserve"> </w:t>
      </w:r>
      <w:r>
        <w:t xml:space="preserve">never be cross-examined by anyone.</w:t>
      </w:r>
    </w:p>
    <w:p>
      <w:pPr>
        <w:pStyle w:val="BodyText"/>
      </w:pPr>
      <w:r>
        <w:t xml:space="preserve">What followed reads like a two-decade tennis rally between every level of the</w:t>
      </w:r>
      <w:r>
        <w:t xml:space="preserve"> </w:t>
      </w:r>
      <w:r>
        <w:t xml:space="preserve">American court system:</w:t>
      </w:r>
    </w:p>
    <w:p>
      <w:pPr>
        <w:pStyle w:val="BodyText"/>
      </w:pPr>
      <w:r>
        <w:t xml:space="preserve">The Wisconsin Supreme Court held in 2007 (</w:t>
      </w:r>
      <w:r>
        <w:rPr>
          <w:iCs/>
          <w:i/>
        </w:rPr>
        <w:t xml:space="preserve">Jensen I</w:t>
      </w:r>
      <w:r>
        <w:t xml:space="preserve">) that Julie’s letter and</w:t>
      </w:r>
      <w:r>
        <w:t xml:space="preserve"> </w:t>
      </w:r>
      <w:r>
        <w:t xml:space="preserve">voicemails were testimonial — their very purpose was to point police to her</w:t>
      </w:r>
      <w:r>
        <w:t xml:space="preserve"> </w:t>
      </w:r>
      <w:r>
        <w:t xml:space="preserve">killer if she died — and therefore inadmissible…</w:t>
      </w:r>
      <w:r>
        <w:t xml:space="preserve"> </w:t>
      </w:r>
      <w:r>
        <w:rPr>
          <w:iCs/>
          <w:i/>
        </w:rPr>
        <w:t xml:space="preserve">unless</w:t>
      </w:r>
      <w:r>
        <w:t xml:space="preserve"> </w:t>
      </w:r>
      <w:r>
        <w:t xml:space="preserve">Mark had forfeited</w:t>
      </w:r>
      <w:r>
        <w:t xml:space="preserve"> </w:t>
      </w:r>
      <w:r>
        <w:t xml:space="preserve">his confrontation right by killing her, the ancient doctrine of</w:t>
      </w:r>
      <w:r>
        <w:t xml:space="preserve"> </w:t>
      </w:r>
      <w:r>
        <w:t xml:space="preserve">“</w:t>
      </w:r>
      <w:r>
        <w:t xml:space="preserve">forfeiture-by-wrongdoing.</w:t>
      </w:r>
      <w:r>
        <w:t xml:space="preserve">”</w:t>
      </w:r>
      <w:r>
        <w:t xml:space="preserve"> </w:t>
      </w:r>
      <w:r>
        <w:t xml:space="preserve">On remand, the circuit court found he had. The</w:t>
      </w:r>
      <w:r>
        <w:t xml:space="preserve"> </w:t>
      </w:r>
      <w:r>
        <w:t xml:space="preserve">letter went to the jury, and in 2008 the jury convicted Mark Jensen of</w:t>
      </w:r>
      <w:r>
        <w:t xml:space="preserve"> </w:t>
      </w:r>
      <w:r>
        <w:t xml:space="preserve">murdering Julie.</w:t>
      </w:r>
    </w:p>
    <w:p>
      <w:pPr>
        <w:pStyle w:val="BodyText"/>
      </w:pPr>
      <w:r>
        <w:t xml:space="preserve">Then the ground shifted again. The U.S. Supreme Court’s</w:t>
      </w:r>
      <w:r>
        <w:t xml:space="preserve"> </w:t>
      </w:r>
      <w:r>
        <w:rPr>
          <w:iCs/>
          <w:i/>
        </w:rPr>
        <w:t xml:space="preserve">Giles v. California</w:t>
      </w:r>
      <w:r>
        <w:t xml:space="preserve"> </w:t>
      </w:r>
      <w:r>
        <w:t xml:space="preserve">(2008) narrowed forfeiture: it applies only where the defendant silenced the</w:t>
      </w:r>
      <w:r>
        <w:t xml:space="preserve"> </w:t>
      </w:r>
      <w:r>
        <w:t xml:space="preserve">witness</w:t>
      </w:r>
      <w:r>
        <w:t xml:space="preserve"> </w:t>
      </w:r>
      <w:r>
        <w:rPr>
          <w:iCs/>
          <w:i/>
        </w:rPr>
        <w:t xml:space="preserve">in order to keep her from testifying</w:t>
      </w:r>
      <w:r>
        <w:t xml:space="preserve"> </w:t>
      </w:r>
      <w:r>
        <w:t xml:space="preserve">— and no one claimed Mark</w:t>
      </w:r>
      <w:r>
        <w:t xml:space="preserve"> </w:t>
      </w:r>
      <w:r>
        <w:t xml:space="preserve">killed Julie to keep her out of a courtroom. So in 2011 (</w:t>
      </w:r>
      <w:r>
        <w:rPr>
          <w:iCs/>
          <w:i/>
        </w:rPr>
        <w:t xml:space="preserve">Jensen II</w:t>
      </w:r>
      <w:r>
        <w:t xml:space="preserve">), the</w:t>
      </w:r>
      <w:r>
        <w:t xml:space="preserve"> </w:t>
      </w:r>
      <w:r>
        <w:t xml:space="preserve">Wisconsin Court of Appeals agreed the letter should never have been admitted —</w:t>
      </w:r>
      <w:r>
        <w:t xml:space="preserve"> </w:t>
      </w:r>
      <w:r>
        <w:t xml:space="preserve">but called the error</w:t>
      </w:r>
      <w:r>
        <w:t xml:space="preserve"> </w:t>
      </w:r>
      <w:r>
        <w:rPr>
          <w:iCs/>
          <w:i/>
        </w:rPr>
        <w:t xml:space="preserve">harmless</w:t>
      </w:r>
      <w:r>
        <w:t xml:space="preserve">, pointing to the</w:t>
      </w:r>
      <w:r>
        <w:t xml:space="preserve"> </w:t>
      </w:r>
      <w:r>
        <w:t xml:space="preserve">“</w:t>
      </w:r>
      <w:r>
        <w:t xml:space="preserve">voluminous</w:t>
      </w:r>
      <w:r>
        <w:t xml:space="preserve">”</w:t>
      </w:r>
      <w:r>
        <w:t xml:space="preserve"> </w:t>
      </w:r>
      <w:r>
        <w:t xml:space="preserve">other evidence</w:t>
      </w:r>
      <w:r>
        <w:t xml:space="preserve"> </w:t>
      </w:r>
      <w:r>
        <w:t xml:space="preserve">of Mark’s guilt, and let the conviction stand.</w:t>
      </w:r>
    </w:p>
    <w:p>
      <w:pPr>
        <w:pStyle w:val="BodyText"/>
      </w:pPr>
      <w:r>
        <w:t xml:space="preserve">The federal courts did not agree that it was harmless. On habeas corpus</w:t>
      </w:r>
      <w:r>
        <w:t xml:space="preserve"> </w:t>
      </w:r>
      <w:r>
        <w:t xml:space="preserve">review, they held that Julie’s accusation from the grave was no minor exhibit</w:t>
      </w:r>
      <w:r>
        <w:t xml:space="preserve"> </w:t>
      </w:r>
      <w:r>
        <w:t xml:space="preserve">— it was the beating heart of the State’s case — and vacated the conviction.</w:t>
      </w:r>
      <w:r>
        <w:t xml:space="preserve"> </w:t>
      </w:r>
      <w:r>
        <w:t xml:space="preserve">What happened next is the strangest twist in the whole saga: the circuit</w:t>
      </w:r>
      <w:r>
        <w:t xml:space="preserve"> </w:t>
      </w:r>
      <w:r>
        <w:t xml:space="preserve">court responded to the federal order by simply</w:t>
      </w:r>
      <w:r>
        <w:t xml:space="preserve"> </w:t>
      </w:r>
      <w:r>
        <w:rPr>
          <w:iCs/>
          <w:i/>
        </w:rPr>
        <w:t xml:space="preserve">reinstating the conviction</w:t>
      </w:r>
      <w:r>
        <w:rPr>
          <w:iCs/>
          <w:i/>
        </w:rPr>
        <w:t xml:space="preserve"> </w:t>
      </w:r>
      <w:r>
        <w:rPr>
          <w:iCs/>
          <w:i/>
        </w:rPr>
        <w:t xml:space="preserve">without a new trial</w:t>
      </w:r>
      <w:r>
        <w:t xml:space="preserve">, reasoning that the law had changed enough that the</w:t>
      </w:r>
      <w:r>
        <w:t xml:space="preserve"> </w:t>
      </w:r>
      <w:r>
        <w:t xml:space="preserve">letter would now be admissible after all. The court of appeals reversed. And</w:t>
      </w:r>
      <w:r>
        <w:t xml:space="preserve"> </w:t>
      </w:r>
      <w:r>
        <w:t xml:space="preserve">in March 2021 — twenty-three years after Julie died — the Wisconsin Supreme</w:t>
      </w:r>
      <w:r>
        <w:t xml:space="preserve"> </w:t>
      </w:r>
      <w:r>
        <w:t xml:space="preserve">Court delivered the decision our chapter is anchored to: the law had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changed,</w:t>
      </w:r>
      <w:r>
        <w:t xml:space="preserve"> </w:t>
      </w:r>
      <w:r>
        <w:rPr>
          <w:iCs/>
          <w:i/>
        </w:rPr>
        <w:t xml:space="preserve">Jensen I</w:t>
      </w:r>
      <w:r>
        <w:t xml:space="preserve"> </w:t>
      </w:r>
      <w:r>
        <w:t xml:space="preserve">still governed, the letter and voicemails remained</w:t>
      </w:r>
      <w:r>
        <w:t xml:space="preserve"> </w:t>
      </w:r>
      <w:r>
        <w:t xml:space="preserve">testimonial and inadmissible, and Mark Jensen was entitled to what the</w:t>
      </w:r>
      <w:r>
        <w:t xml:space="preserve"> </w:t>
      </w:r>
      <w:r>
        <w:t xml:space="preserve">Constitution had promised him all along. A new trial, with Julie’s letter</w:t>
      </w:r>
      <w:r>
        <w:t xml:space="preserve"> </w:t>
      </w:r>
      <w:r>
        <w:t xml:space="preserve">kept out.</w:t>
      </w:r>
    </w:p>
    <w:p>
      <w:pPr>
        <w:pStyle w:val="BodyText"/>
      </w:pPr>
      <w:r>
        <w:t xml:space="preserve">A justice writing separately urged courts never to forget the context the</w:t>
      </w:r>
      <w:r>
        <w:t xml:space="preserve"> </w:t>
      </w:r>
      <w:r>
        <w:t xml:space="preserve">legal doctrine kept flattening: Julie was, in her words, undeniably a victim</w:t>
      </w:r>
      <w:r>
        <w:t xml:space="preserve"> </w:t>
      </w:r>
      <w:r>
        <w:t xml:space="preserve">of domestic abuse who</w:t>
      </w:r>
      <w:r>
        <w:t xml:space="preserve"> </w:t>
      </w:r>
      <w:r>
        <w:t xml:space="preserve">“</w:t>
      </w:r>
      <w:r>
        <w:t xml:space="preserve">lived in terror born of the unimaginable fear that her</w:t>
      </w:r>
      <w:r>
        <w:t xml:space="preserve"> </w:t>
      </w:r>
      <w:r>
        <w:t xml:space="preserve">husband was going to kill her and claim that her death was a suicide.</w:t>
      </w:r>
      <w:r>
        <w:t xml:space="preserve">”</w:t>
      </w:r>
      <w:r>
        <w:t xml:space="preserve"> </w:t>
      </w:r>
      <w:r>
        <w:t xml:space="preserve">That —</w:t>
      </w:r>
      <w:r>
        <w:t xml:space="preserve"> </w:t>
      </w:r>
      <w:r>
        <w:t xml:space="preserve">the concurrence reminds us — is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the letter existed.</w:t>
      </w:r>
    </w:p>
    <w:bookmarkEnd w:id="20"/>
    <w:bookmarkStart w:id="21" w:name="the-epilogue-the-opinion-doesnt-contain"/>
    <w:p>
      <w:pPr>
        <w:pStyle w:val="Heading2"/>
      </w:pPr>
      <w:r>
        <w:t xml:space="preserve">The epilogue the opinion doesn’t contain</w:t>
      </w:r>
    </w:p>
    <w:p>
      <w:pPr>
        <w:pStyle w:val="FirstParagraph"/>
      </w:pPr>
      <w:r>
        <w:t xml:space="preserve">The 2021 decision ends with the order for a new trial, so the opinion itself</w:t>
      </w:r>
      <w:r>
        <w:t xml:space="preserve"> </w:t>
      </w:r>
      <w:r>
        <w:t xml:space="preserve">cannot tell you how the story ends. The news coverage can: in early 2023,</w:t>
      </w:r>
      <w:r>
        <w:t xml:space="preserve"> </w:t>
      </w:r>
      <w:r>
        <w:t xml:space="preserve">Kenosha County prosecutors retried Mark Jensen — this time without Julie’s</w:t>
      </w:r>
      <w:r>
        <w:t xml:space="preserve"> </w:t>
      </w:r>
      <w:r>
        <w:t xml:space="preserve">letter — and a second jury convicted him of first-degree intentional homicide</w:t>
      </w:r>
      <w:r>
        <w:t xml:space="preserve"> </w:t>
      </w:r>
      <w:r>
        <w:t xml:space="preserve">all over again. The other evidence, it turned out, really was voluminous.</w:t>
      </w:r>
      <w:r>
        <w:t xml:space="preserve"> </w:t>
      </w:r>
      <w:r>
        <w:rPr>
          <w:iCs/>
          <w:i/>
        </w:rPr>
        <w:t xml:space="preserve">(Note: the retrial outcome is reported from news coverage, not from the</w:t>
      </w:r>
      <w:r>
        <w:rPr>
          <w:iCs/>
          <w:i/>
        </w:rPr>
        <w:t xml:space="preserve"> </w:t>
      </w:r>
      <w:r>
        <w:rPr>
          <w:iCs/>
          <w:i/>
        </w:rPr>
        <w:t xml:space="preserve">anchor decision — verify current status before print.)</w:t>
      </w:r>
    </w:p>
    <w:bookmarkEnd w:id="21"/>
    <w:bookmarkStart w:id="24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Julie caught him. Before the poison ever reached her, she left a signed,</w:t>
      </w:r>
      <w:r>
        <w:t xml:space="preserve"> </w:t>
      </w:r>
      <w:r>
        <w:t xml:space="preserve">sealed accusation with a neighbor and her voice on a police officer’s</w:t>
      </w:r>
      <w:r>
        <w:t xml:space="preserve"> </w:t>
      </w:r>
      <w:r>
        <w:t xml:space="preserve">voicemail — evidence gathered by the victim herself, in advance of her own</w:t>
      </w:r>
      <w:r>
        <w:t xml:space="preserve"> </w:t>
      </w:r>
      <w:r>
        <w:t xml:space="preserve">murder. The bitter irony of this chapter is that her foresight nearly unmade</w:t>
      </w:r>
      <w:r>
        <w:t xml:space="preserve"> </w:t>
      </w:r>
      <w:r>
        <w:t xml:space="preserve">the case: a statement created</w:t>
      </w:r>
      <w:r>
        <w:t xml:space="preserve"> </w:t>
      </w:r>
      <w:r>
        <w:rPr>
          <w:iCs/>
          <w:i/>
        </w:rPr>
        <w:t xml:space="preserve">to be used by police after her death</w:t>
      </w:r>
      <w:r>
        <w:t xml:space="preserve"> </w:t>
      </w:r>
      <w:r>
        <w:t xml:space="preserve">is the</w:t>
      </w:r>
      <w:r>
        <w:t xml:space="preserve"> </w:t>
      </w:r>
      <w:r>
        <w:t xml:space="preserve">purest form of</w:t>
      </w:r>
      <w:r>
        <w:t xml:space="preserve"> </w:t>
      </w:r>
      <w:r>
        <w:t xml:space="preserve">“</w:t>
      </w:r>
      <w:r>
        <w:t xml:space="preserve">testimonial</w:t>
      </w:r>
      <w:r>
        <w:t xml:space="preserve">”</w:t>
      </w:r>
      <w:r>
        <w:t xml:space="preserve"> </w:t>
      </w:r>
      <w:r>
        <w:t xml:space="preserve">evidence the Confrontation Clause exists to</w:t>
      </w:r>
      <w:r>
        <w:t xml:space="preserve"> </w:t>
      </w:r>
      <w:r>
        <w:t xml:space="preserve">police, and it took American courts twenty-five years to finish arguing about</w:t>
      </w:r>
      <w:r>
        <w:t xml:space="preserve"> </w:t>
      </w:r>
      <w:r>
        <w:t xml:space="preserve">it. In the end, both things were true at once. Julie’s letter could not</w:t>
      </w:r>
      <w:r>
        <w:t xml:space="preserve"> </w:t>
      </w:r>
      <w:r>
        <w:t xml:space="preserve">lawfully convict her husband — and her husband was convicted anyway, because</w:t>
      </w:r>
      <w:r>
        <w:t xml:space="preserve"> </w:t>
      </w:r>
      <w:r>
        <w:t xml:space="preserve">a woman who documents her own danger leaves behind more than a letter. She</w:t>
      </w:r>
      <w:r>
        <w:t xml:space="preserve"> </w:t>
      </w:r>
      <w:r>
        <w:t xml:space="preserve">leaves behind a trail.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State v. Jensen</w:t>
      </w:r>
      <w:r>
        <w:t xml:space="preserve">, 2021 WI 27, 396 Wis. 2d</w:t>
      </w:r>
      <w:r>
        <w:t xml:space="preserve"> </w:t>
      </w:r>
      <w:r>
        <w:t xml:space="preserve">196, 957 N.W.2d 244, Wisconsin Supreme Court, decided March 18, 2021.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Justia</w:t>
        </w:r>
      </w:hyperlink>
      <w:r>
        <w:t xml:space="preserve"> </w:t>
      </w:r>
      <w:r>
        <w:t xml:space="preserve">· official PDF via</w:t>
      </w:r>
      <w:r>
        <w:t xml:space="preserve"> </w:t>
      </w:r>
      <w:hyperlink r:id="rId23">
        <w:r>
          <w:rPr>
            <w:rStyle w:val="Hyperlink"/>
          </w:rPr>
          <w:t xml:space="preserve">wicourts.gov</w:t>
        </w:r>
      </w:hyperlink>
      <w:r>
        <w:t xml:space="preserve">.</w:t>
      </w:r>
      <w:r>
        <w:t xml:space="preserve"> </w:t>
      </w:r>
      <w:r>
        <w:t xml:space="preserve">The full procedural saga —</w:t>
      </w:r>
      <w:r>
        <w:t xml:space="preserve"> </w:t>
      </w:r>
      <w:r>
        <w:rPr>
          <w:iCs/>
          <w:i/>
        </w:rPr>
        <w:t xml:space="preserve">Crawford</w:t>
      </w:r>
      <w:r>
        <w:t xml:space="preserve"> </w:t>
      </w:r>
      <w:r>
        <w:t xml:space="preserve">through the habeas litigation — is</w:t>
      </w:r>
      <w:r>
        <w:t xml:space="preserve"> </w:t>
      </w:r>
      <w:r>
        <w:t xml:space="preserve">set out in Part I; Justice Karofsky’s concurrence addresses the</w:t>
      </w:r>
      <w:r>
        <w:t xml:space="preserve"> </w:t>
      </w:r>
      <w:r>
        <w:t xml:space="preserve">domestic-violence context.</w:t>
      </w:r>
      <w:r>
        <w:t xml:space="preserve"> </w:t>
      </w:r>
      <w:r>
        <w:rPr>
          <w:bCs/>
          <w:b/>
        </w:rPr>
        <w:t xml:space="preserve">Companion authority (for the underlying trial evidence, incl. the family</w:t>
      </w:r>
      <w:r>
        <w:rPr>
          <w:bCs/>
          <w:b/>
        </w:rPr>
        <w:t xml:space="preserve"> </w:t>
      </w:r>
      <w:r>
        <w:rPr>
          <w:bCs/>
          <w:b/>
        </w:rPr>
        <w:t xml:space="preserve">computer forensics):</w:t>
      </w:r>
      <w:r>
        <w:t xml:space="preserve"> </w:t>
      </w:r>
      <w:r>
        <w:rPr>
          <w:iCs/>
          <w:i/>
        </w:rPr>
        <w:t xml:space="preserve">State v. Jensen</w:t>
      </w:r>
      <w:r>
        <w:t xml:space="preserve">, 2011 WI App 3, 331 Wis. 2d 440 —</w:t>
      </w:r>
      <w:r>
        <w:t xml:space="preserve"> </w:t>
      </w:r>
      <w:r>
        <w:t xml:space="preserve">on the pull list.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law.justia.com/cases/wisconsin/supreme-court/2021/2018ap001952-cr.html" TargetMode="External" /><Relationship Type="http://schemas.openxmlformats.org/officeDocument/2006/relationships/hyperlink" Id="rId23" Target="https://www.wicourts.go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law.justia.com/cases/wisconsin/supreme-court/2021/2018ap001952-cr.html" TargetMode="External" /><Relationship Type="http://schemas.openxmlformats.org/officeDocument/2006/relationships/hyperlink" Id="rId23" Target="https://www.wicourts.go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2026-07-02T12:46:09Z</dcterms:created>
  <dcterms:modified xsi:type="dcterms:W3CDTF">2026-07-02T12:46:09Z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