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terlude-the-rules-of-the-road"/>
    <w:p>
      <w:pPr>
        <w:pStyle w:val="Heading1"/>
      </w:pPr>
      <w:r>
        <w:t xml:space="preserve">Interlude: The Rules of the Road</w:t>
      </w:r>
    </w:p>
    <w:p>
      <w:pPr>
        <w:pStyle w:val="FirstParagraph"/>
      </w:pPr>
      <w:r>
        <w:rPr>
          <w:iCs/>
          <w:i/>
        </w:rPr>
        <w:t xml:space="preserve">A short framing note for Part II. Not a murder case, but the law that governs</w:t>
      </w:r>
      <w:r>
        <w:rPr>
          <w:iCs/>
          <w:i/>
        </w:rPr>
        <w:t xml:space="preserve"> </w:t>
      </w:r>
      <w:r>
        <w:rPr>
          <w:iCs/>
          <w:i/>
        </w:rPr>
        <w:t xml:space="preserve">every one of them.</w:t>
      </w:r>
    </w:p>
    <w:p>
      <w:pPr>
        <w:pStyle w:val="BodyText"/>
      </w:pPr>
      <w:r>
        <w:t xml:space="preserve">Before the chapters that follow, in which cell towers and GPS units and geotagged</w:t>
      </w:r>
      <w:r>
        <w:t xml:space="preserve"> </w:t>
      </w:r>
      <w:r>
        <w:t xml:space="preserve">photos deliver killers to the police, it is worth pausing on a question those</w:t>
      </w:r>
      <w:r>
        <w:t xml:space="preserve"> </w:t>
      </w:r>
      <w:r>
        <w:t xml:space="preserve">cases quietly assume has an answer: when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the police use these tools against</w:t>
      </w:r>
      <w:r>
        <w:t xml:space="preserve"> </w:t>
      </w:r>
      <w:r>
        <w:t xml:space="preserve">you? A phone that logs your every location is a prosecutor’s dream, but it is also,</w:t>
      </w:r>
      <w:r>
        <w:t xml:space="preserve"> </w:t>
      </w:r>
      <w:r>
        <w:t xml:space="preserve">in the wrong hands, a government’s dream, and the same technology that catches a</w:t>
      </w:r>
      <w:r>
        <w:t xml:space="preserve"> </w:t>
      </w:r>
      <w:r>
        <w:t xml:space="preserve">murderer can track an innocent citizen. Two decisions of the United States Supreme</w:t>
      </w:r>
      <w:r>
        <w:t xml:space="preserve"> </w:t>
      </w:r>
      <w:r>
        <w:t xml:space="preserve">Court drew the constitutional lines that the American location cases in this book</w:t>
      </w:r>
      <w:r>
        <w:t xml:space="preserve"> </w:t>
      </w:r>
      <w:r>
        <w:t xml:space="preserve">operate within, and they are worth knowing before we watch the machines testify.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iCs/>
          <w:i/>
        </w:rPr>
        <w:t xml:space="preserve">United States v. Jones</w:t>
      </w:r>
      <w:r>
        <w:t xml:space="preserve"> </w:t>
      </w:r>
      <w:r>
        <w:t xml:space="preserve">(2012). Antoine Jones was a Washington, D.C.</w:t>
      </w:r>
      <w:r>
        <w:t xml:space="preserve"> </w:t>
      </w:r>
      <w:r>
        <w:t xml:space="preserve">nightclub owner suspected of dealing cocaine. Investigators obtained a warrant to</w:t>
      </w:r>
      <w:r>
        <w:t xml:space="preserve"> </w:t>
      </w:r>
      <w:r>
        <w:t xml:space="preserve">attach a GPS tracker to a Jeep registered to his wife, but the warrant let them</w:t>
      </w:r>
      <w:r>
        <w:t xml:space="preserve"> </w:t>
      </w:r>
      <w:r>
        <w:t xml:space="preserve">install it in the District within ten days, and they installed it on the eleventh</w:t>
      </w:r>
      <w:r>
        <w:t xml:space="preserve"> </w:t>
      </w:r>
      <w:r>
        <w:t xml:space="preserve">day, in Maryland. In other words, they did it without a valid warrant. Then they</w:t>
      </w:r>
      <w:r>
        <w:t xml:space="preserve"> </w:t>
      </w:r>
      <w:r>
        <w:t xml:space="preserve">tracked the vehicle’s every movement for twenty-eight days and used the data to</w:t>
      </w:r>
      <w:r>
        <w:t xml:space="preserve"> </w:t>
      </w:r>
      <w:r>
        <w:t xml:space="preserve">tie Jones to a stash house.</w:t>
      </w:r>
    </w:p>
    <w:p>
      <w:pPr>
        <w:pStyle w:val="BodyText"/>
      </w:pPr>
      <w:r>
        <w:t xml:space="preserve">The Supreme Court held that this was a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 </w:t>
      </w:r>
      <w:r>
        <w:t xml:space="preserve">under the Fourth Amendment. The</w:t>
      </w:r>
      <w:r>
        <w:t xml:space="preserve"> </w:t>
      </w:r>
      <w:r>
        <w:t xml:space="preserve">government’s act of physically attaching a device to Jones’s vehicle, an</w:t>
      </w:r>
      <w:r>
        <w:t xml:space="preserve"> </w:t>
      </w:r>
      <w:r>
        <w:t xml:space="preserve">“</w:t>
      </w:r>
      <w:r>
        <w:t xml:space="preserve">effect</w:t>
      </w:r>
      <w:r>
        <w:t xml:space="preserve">”</w:t>
      </w:r>
      <w:r>
        <w:t xml:space="preserve"> </w:t>
      </w:r>
      <w:r>
        <w:t xml:space="preserve">in the language of the Amendment, in order to gather information, was exactly the</w:t>
      </w:r>
      <w:r>
        <w:t xml:space="preserve"> </w:t>
      </w:r>
      <w:r>
        <w:t xml:space="preserve">sort of trespass the Constitution was written to check. The police cannot simply</w:t>
      </w:r>
      <w:r>
        <w:t xml:space="preserve"> </w:t>
      </w:r>
      <w:r>
        <w:t xml:space="preserve">bolt a tracker to your car and follow you for a month; doing so triggers the</w:t>
      </w:r>
      <w:r>
        <w:t xml:space="preserve"> </w:t>
      </w:r>
      <w:r>
        <w:t xml:space="preserve">Fourth Amendment’s protections. It is the reason the GPS evidence in the murder</w:t>
      </w:r>
      <w:r>
        <w:t xml:space="preserve"> </w:t>
      </w:r>
      <w:r>
        <w:t xml:space="preserve">cases that follow had to be obtained properly, and the reason a defendant like</w:t>
      </w:r>
      <w:r>
        <w:t xml:space="preserve"> </w:t>
      </w:r>
      <w:r>
        <w:t xml:space="preserve">Raja Dosanjh (Chapter 11) would try, however unsuccessfully, to have his car’s</w:t>
      </w:r>
      <w:r>
        <w:t xml:space="preserve"> </w:t>
      </w:r>
      <w:r>
        <w:t xml:space="preserve">tracklog thrown out.</w:t>
      </w:r>
    </w:p>
    <w:p>
      <w:pPr>
        <w:pStyle w:val="BodyText"/>
      </w:pPr>
      <w:r>
        <w:t xml:space="preserve">Its companion is</w:t>
      </w:r>
      <w:r>
        <w:t xml:space="preserve"> </w:t>
      </w:r>
      <w:r>
        <w:rPr>
          <w:iCs/>
          <w:i/>
        </w:rPr>
        <w:t xml:space="preserve">Carpenter v. United States</w:t>
      </w:r>
      <w:r>
        <w:t xml:space="preserve"> </w:t>
      </w:r>
      <w:r>
        <w:t xml:space="preserve">(2018), which extended the same</w:t>
      </w:r>
      <w:r>
        <w:t xml:space="preserve"> </w:t>
      </w:r>
      <w:r>
        <w:t xml:space="preserve">caution from a device the police attach to one they merely ask a company to hand</w:t>
      </w:r>
      <w:r>
        <w:t xml:space="preserve"> </w:t>
      </w:r>
      <w:r>
        <w:t xml:space="preserve">over. Timothy Carpenter was tied to a string of armed robberies at RadioShack and</w:t>
      </w:r>
      <w:r>
        <w:t xml:space="preserve"> </w:t>
      </w:r>
      <w:r>
        <w:t xml:space="preserve">T-Mobile stores around Detroit after an accomplice named him. To build the case,</w:t>
      </w:r>
      <w:r>
        <w:t xml:space="preserve"> </w:t>
      </w:r>
      <w:r>
        <w:t xml:space="preserve">the government obtained, without a warrant, months of Carpenter’s historical</w:t>
      </w:r>
      <w:r>
        <w:t xml:space="preserve"> </w:t>
      </w:r>
      <w:r>
        <w:t xml:space="preserve">cell-site location information, the log of which cell towers his phone had</w:t>
      </w:r>
      <w:r>
        <w:t xml:space="preserve"> </w:t>
      </w:r>
      <w:r>
        <w:t xml:space="preserve">connected to, roughly 127 days of it, placing his phone near robbery after</w:t>
      </w:r>
      <w:r>
        <w:t xml:space="preserve"> </w:t>
      </w:r>
      <w:r>
        <w:t xml:space="preserve">robbery. The government’s theory was that this was fair game because the records</w:t>
      </w:r>
      <w:r>
        <w:t xml:space="preserve"> </w:t>
      </w:r>
      <w:r>
        <w:t xml:space="preserve">belonged to the phone company, not to Carpenter, under the old rule that you</w:t>
      </w:r>
      <w:r>
        <w:t xml:space="preserve"> </w:t>
      </w:r>
      <w:r>
        <w:t xml:space="preserve">surrender your privacy in information you hand to a third party.</w:t>
      </w:r>
    </w:p>
    <w:p>
      <w:pPr>
        <w:pStyle w:val="BodyText"/>
      </w:pPr>
      <w:r>
        <w:t xml:space="preserve">The Court refused to go there. Acquiring that kind of pervasive, long-term record</w:t>
      </w:r>
      <w:r>
        <w:t xml:space="preserve"> </w:t>
      </w:r>
      <w:r>
        <w:t xml:space="preserve">of a person’s movements, it held, is a Fourth Amendment search that requires a</w:t>
      </w:r>
      <w:r>
        <w:t xml:space="preserve"> </w:t>
      </w:r>
      <w:r>
        <w:t xml:space="preserve">warrant, even though a phone company holds the data, because a comprehensive log</w:t>
      </w:r>
      <w:r>
        <w:t xml:space="preserve"> </w:t>
      </w:r>
      <w:r>
        <w:t xml:space="preserve">of everywhere you have been is exactly the sort of intimate portrait the Amendment</w:t>
      </w:r>
      <w:r>
        <w:t xml:space="preserve"> </w:t>
      </w:r>
      <w:r>
        <w:t xml:space="preserve">protects. Modern life forces us to leave a locational trail with our carriers</w:t>
      </w:r>
      <w:r>
        <w:t xml:space="preserve"> </w:t>
      </w:r>
      <w:r>
        <w:t xml:space="preserve">simply by owning a phone; that necessity, the Court reasoned, cannot mean we</w:t>
      </w:r>
      <w:r>
        <w:t xml:space="preserve"> </w:t>
      </w:r>
      <w:r>
        <w:t xml:space="preserve">surrender the right to keep the government from freely reading it.</w:t>
      </w:r>
      <w:r>
        <w:t xml:space="preserve"> </w:t>
      </w:r>
      <w:r>
        <w:rPr>
          <w:iCs/>
          <w:i/>
        </w:rPr>
        <w:t xml:space="preserve">Carpenter</w:t>
      </w:r>
      <w:r>
        <w:t xml:space="preserve"> </w:t>
      </w:r>
      <w:r>
        <w:t xml:space="preserve">is</w:t>
      </w:r>
      <w:r>
        <w:t xml:space="preserve"> </w:t>
      </w:r>
      <w:r>
        <w:t xml:space="preserve">the essential backdrop to every chapter in this book where historical cell-tower</w:t>
      </w:r>
      <w:r>
        <w:t xml:space="preserve"> </w:t>
      </w:r>
      <w:r>
        <w:t xml:space="preserve">records place a killer, from the two phones on the same towers in the Millard</w:t>
      </w:r>
      <w:r>
        <w:t xml:space="preserve"> </w:t>
      </w:r>
      <w:r>
        <w:t xml:space="preserve">cases to the timeline that helped convict Jennifer Pan.</w:t>
      </w:r>
    </w:p>
    <w:p>
      <w:pPr>
        <w:pStyle w:val="BodyText"/>
      </w:pPr>
      <w:r>
        <w:t xml:space="preserve">Together,</w:t>
      </w:r>
      <w:r>
        <w:t xml:space="preserve"> </w:t>
      </w:r>
      <w:r>
        <w:rPr>
          <w:iCs/>
          <w:i/>
        </w:rPr>
        <w:t xml:space="preserve">Jones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Carpenter</w:t>
      </w:r>
      <w:r>
        <w:t xml:space="preserve"> </w:t>
      </w:r>
      <w:r>
        <w:t xml:space="preserve">are the rules of the road for everything in this</w:t>
      </w:r>
      <w:r>
        <w:t xml:space="preserve"> </w:t>
      </w:r>
      <w:r>
        <w:t xml:space="preserve">part of the book. They do not stop the police from using cell towers and GPS to</w:t>
      </w:r>
      <w:r>
        <w:t xml:space="preserve"> </w:t>
      </w:r>
      <w:r>
        <w:t xml:space="preserve">catch killers; the chapters that follow are proof that they use them to</w:t>
      </w:r>
      <w:r>
        <w:t xml:space="preserve"> </w:t>
      </w:r>
      <w:r>
        <w:t xml:space="preserve">devastating effect. What the two decisions insist on is that the power be used</w:t>
      </w:r>
      <w:r>
        <w:t xml:space="preserve"> </w:t>
      </w:r>
      <w:r>
        <w:t xml:space="preserve">under a warrant, with a judge in the loop, because a tool precise enough to convict</w:t>
      </w:r>
      <w:r>
        <w:t xml:space="preserve"> </w:t>
      </w:r>
      <w:r>
        <w:t xml:space="preserve">the guilty is precise enough to surveil the innocent, and the line between the two</w:t>
      </w:r>
      <w:r>
        <w:t xml:space="preserve"> </w:t>
      </w:r>
      <w:r>
        <w:t xml:space="preserve">is drawn not by the technology but by the law that governs it. Keep these rules in</w:t>
      </w:r>
      <w:r>
        <w:t xml:space="preserve"> </w:t>
      </w:r>
      <w:r>
        <w:t xml:space="preserve">mind as the machines begin to talk.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cases yourself:</w:t>
      </w:r>
      <w:r>
        <w:t xml:space="preserve"> </w:t>
      </w:r>
      <w:r>
        <w:rPr>
          <w:iCs/>
          <w:i/>
        </w:rPr>
        <w:t xml:space="preserve">United States v. Jones</w:t>
      </w:r>
      <w:r>
        <w:t xml:space="preserve">, 565 U.S. 400 (2012);</w:t>
      </w:r>
      <w:r>
        <w:t xml:space="preserve"> </w:t>
      </w:r>
      <w:r>
        <w:rPr>
          <w:iCs/>
          <w:i/>
        </w:rPr>
        <w:t xml:space="preserve">Carpenter v. United States</w:t>
      </w:r>
      <w:r>
        <w:t xml:space="preserve">, 585 U.S. 296, 138 S. Ct. 2206 (2018), Supreme Court</w:t>
      </w:r>
      <w:r>
        <w:t xml:space="preserve"> </w:t>
      </w:r>
      <w:r>
        <w:t xml:space="preserve">of the United States.</w:t>
      </w:r>
      <w:r>
        <w:t xml:space="preserve"> </w:t>
      </w:r>
      <w:r>
        <w:t xml:space="preserve">Free online:</w:t>
      </w:r>
      <w:r>
        <w:t xml:space="preserve"> </w:t>
      </w:r>
      <w:hyperlink r:id="rId20">
        <w:r>
          <w:rPr>
            <w:rStyle w:val="Hyperlink"/>
          </w:rPr>
          <w:t xml:space="preserve">Jones (Justia)</w:t>
        </w:r>
      </w:hyperlink>
      <w:r>
        <w:t xml:space="preserve"> </w:t>
      </w:r>
      <w:r>
        <w:t xml:space="preserve">· Carpenter: supremecourt.gov (slip opinion 16-402).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supreme.justia.com/cases/federal/us/565/40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upreme.justia.com/cases/federal/us/565/40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2026-07-02T16:52:37Z</dcterms:created>
  <dcterms:modified xsi:type="dcterms:W3CDTF">2026-07-02T16:52:37Z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