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iCs/>
          <w:i/>
        </w:rPr>
        <w:t xml:space="preserve">Working manuscript</w:t>
      </w:r>
    </w:p>
    <w:p>
      <w:r>
        <w:pict>
          <v:rect style="width:0;height:1.5pt" o:hralign="center" o:hrstd="t" o:hr="t"/>
        </w:pict>
      </w:r>
    </w:p>
    <w:p>
      <w:pPr>
        <w:pStyle w:val="FirstParagraph"/>
      </w:pPr>
      <w:r>
        <w:t xml:space="preserve">Every chapter in this book is built on a real, published appellate court</w:t>
      </w:r>
      <w:r>
        <w:t xml:space="preserve"> </w:t>
      </w:r>
      <w:r>
        <w:t xml:space="preserve">decision: from the Supreme Court of Canada, the provincial Courts of Appeal,</w:t>
      </w:r>
      <w:r>
        <w:t xml:space="preserve"> </w:t>
      </w:r>
      <w:r>
        <w:t xml:space="preserve">the United States Supreme Court, and the American state high courts. The</w:t>
      </w:r>
      <w:r>
        <w:t xml:space="preserve"> </w:t>
      </w:r>
      <w:r>
        <w:t xml:space="preserve">storytelling is ours; the facts are the courts’. At the end of every chapter,</w:t>
      </w:r>
      <w:r>
        <w:t xml:space="preserve"> </w:t>
      </w:r>
      <w:r>
        <w:t xml:space="preserve">a citation and a free link let you read the decision yourself.</w:t>
      </w:r>
    </w:p>
    <w:p>
      <w:r>
        <w:pict>
          <v:rect style="width:0;height:1.5pt" o:hralign="center" o:hrstd="t" o:hr="t"/>
        </w:pict>
      </w:r>
    </w:p>
    <w:bookmarkEnd w:id="20"/>
    <w:bookmarkEnd w:id="21"/>
    <w:bookmarkStart w:id="33" w:name="how-not-to-get-away-with-murder-1"/>
    <w:p>
      <w:pPr>
        <w:pStyle w:val="Heading1"/>
      </w:pPr>
      <w:r>
        <w:t xml:space="preserve">How Not to Get Away With Murder</w:t>
      </w:r>
    </w:p>
    <w:bookmarkStart w:id="23"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2"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2"/>
    <w:bookmarkEnd w:id="23"/>
    <w:bookmarkStart w:id="24"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4"/>
    <w:bookmarkStart w:id="25"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w:t>
      </w:r>
      <w:r>
        <w:t xml:space="preserve"> </w:t>
      </w:r>
      <w:r>
        <w:t xml:space="preserve">🇺🇸</w:t>
      </w:r>
      <w:r>
        <w:t xml:space="preserve"> </w:t>
      </w:r>
      <w:r>
        <w:rPr>
          <w:iCs/>
          <w:i/>
        </w:rPr>
        <w:t xml:space="preserve">Carpenter v. United States</w:t>
      </w:r>
      <w:r>
        <w:t xml:space="preserve"> </w:t>
      </w:r>
      <w:r>
        <w:t xml:space="preserve">(2018) and</w:t>
      </w:r>
      <w:r>
        <w:t xml:space="preserve"> </w:t>
      </w:r>
      <w:r>
        <w:rPr>
          <w:iCs/>
          <w:i/>
        </w:rPr>
        <w:t xml:space="preserve">United States v. Jones</w:t>
      </w:r>
      <w:r>
        <w:t xml:space="preserve"> </w:t>
      </w:r>
      <w:r>
        <w:t xml:space="preserve">(2012) - the two rulings that decided when the phone in your pocket needs a</w:t>
      </w:r>
      <w:r>
        <w:t xml:space="preserve"> </w:t>
      </w:r>
      <w:r>
        <w:t xml:space="preserve">warrant.</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Seven Hundred Thousand Records Behind a Smiling Daughter</w:t>
      </w:r>
      <w:r>
        <w:t xml:space="preserve"> </w:t>
      </w:r>
      <w:r>
        <w:t xml:space="preserve">- 🇨🇦</w:t>
      </w:r>
      <w:r>
        <w:t xml:space="preserve"> </w:t>
      </w:r>
      <w:r>
        <w:rPr>
          <w:iCs/>
          <w:i/>
        </w:rPr>
        <w:t xml:space="preserve">R. v. Pan</w:t>
      </w:r>
      <w:r>
        <w:t xml:space="preserve"> </w:t>
      </w:r>
      <w:r>
        <w:t xml:space="preserve">(ON CA 2023 / SCC 2025) 🔶</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w:t>
      </w:r>
      <w:r>
        <w:t xml:space="preserve">(Minn., 2024) - an accidental geotag</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w:t>
      </w:r>
      <w:r>
        <w:t xml:space="preserve">(La., 2025) - ALPR tracks the getaway car</w:t>
      </w:r>
    </w:p>
    <w:bookmarkEnd w:id="25"/>
    <w:bookmarkStart w:id="26"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(The computer-search</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evidence lives in companion authority Jensen II, 2011 WI App 3 - on the pull list.)</w:t>
      </w:r>
    </w:p>
    <w:p>
      <w:pPr>
        <w:numPr>
          <w:ilvl w:val="0"/>
          <w:numId w:val="1004"/>
        </w:numPr>
        <w:pStyle w:val="Compact"/>
      </w:pPr>
      <w:r>
        <w:rPr>
          <w:bCs/>
          <w:b/>
        </w:rPr>
        <w:t xml:space="preserve">He Googled Where a Bullet Won’t Kill You</w:t>
      </w:r>
      <w:r>
        <w:t xml:space="preserve"> </w:t>
      </w:r>
      <w:r>
        <w:t xml:space="preserve">- 🇺🇸</w:t>
      </w:r>
      <w:r>
        <w:t xml:space="preserve"> </w:t>
      </w:r>
      <w:r>
        <w:rPr>
          <w:iCs/>
          <w:i/>
        </w:rPr>
        <w:t xml:space="preserve">Barber v. State</w:t>
      </w:r>
      <w:r>
        <w:t xml:space="preserve"> </w:t>
      </w:r>
      <w:r>
        <w:t xml:space="preserve">(Fla., 2009) - staging a beach shooting</w:t>
      </w:r>
    </w:p>
    <w:bookmarkEnd w:id="26"/>
    <w:bookmarkStart w:id="27"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7"/>
    <w:bookmarkStart w:id="28"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the FINAL reorder this belongs in Part IV</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not the firearms part.)</w:t>
      </w:r>
    </w:p>
    <w:bookmarkEnd w:id="28"/>
    <w:bookmarkStart w:id="29"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the Pistol, and the Angle That Didn’t Add Up</w:t>
      </w:r>
      <w:r>
        <w:t xml:space="preserve"> </w:t>
      </w:r>
      <w:r>
        <w:t xml:space="preserve">- 🇨🇦</w:t>
      </w:r>
      <w:r>
        <w:t xml:space="preserve"> </w:t>
      </w:r>
      <w:r>
        <w:rPr>
          <w:iCs/>
          <w:i/>
        </w:rPr>
        <w:t xml:space="preserve">Delisle c. R.</w:t>
      </w:r>
      <w:r>
        <w:t xml:space="preserve"> </w:t>
      </w:r>
      <w:r>
        <w:t xml:space="preserve">(QC CA, 2013) 🔶</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2013) 🔶</w:t>
      </w:r>
    </w:p>
    <w:p>
      <w:pPr>
        <w:numPr>
          <w:ilvl w:val="0"/>
          <w:numId w:val="1008"/>
        </w:numPr>
        <w:pStyle w:val="Compact"/>
      </w:pPr>
      <w:r>
        <w:rPr>
          <w:bCs/>
          <w:b/>
        </w:rPr>
        <w:t xml:space="preserve">The Gun in the Dead Man’s Hand</w:t>
      </w:r>
      <w:r>
        <w:t xml:space="preserve"> </w:t>
      </w:r>
      <w:r>
        <w:t xml:space="preserve">- 🇺🇸</w:t>
      </w:r>
      <w:r>
        <w:t xml:space="preserve"> </w:t>
      </w:r>
      <w:r>
        <w:rPr>
          <w:iCs/>
          <w:i/>
        </w:rPr>
        <w:t xml:space="preserve">Johnson v. State</w:t>
      </w:r>
      <w:r>
        <w:t xml:space="preserve"> </w:t>
      </w:r>
      <w:r>
        <w:t xml:space="preserve">(Tex., 2004) - no powder burns, no suicide</w:t>
      </w:r>
    </w:p>
    <w:bookmarkEnd w:id="29"/>
    <w:bookmarkStart w:id="30"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w:t>
      </w:r>
    </w:p>
    <w:bookmarkEnd w:id="30"/>
    <w:bookmarkStart w:id="31"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No. 2018-CA-01586-SCT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1"/>
    <w:bookmarkStart w:id="32"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2"/>
    <w:bookmarkEnd w:id="33"/>
    <w:bookmarkStart w:id="38"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34"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34"/>
    <w:bookmarkStart w:id="35"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35"/>
    <w:bookmarkStart w:id="37"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36">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37"/>
    <w:bookmarkEnd w:id="38"/>
    <w:bookmarkStart w:id="43"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39"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39"/>
    <w:bookmarkStart w:id="40"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0"/>
    <w:bookmarkStart w:id="42"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1">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2"/>
    <w:bookmarkEnd w:id="43"/>
    <w:bookmarkStart w:id="48"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44"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44"/>
    <w:bookmarkStart w:id="45"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45"/>
    <w:bookmarkStart w:id="47"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46">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47"/>
    <w:bookmarkEnd w:id="48"/>
    <w:bookmarkStart w:id="54"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49"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49"/>
    <w:bookmarkStart w:id="50"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0"/>
    <w:bookmarkStart w:id="53"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1">
        <w:r>
          <w:rPr>
            <w:rStyle w:val="Hyperlink"/>
          </w:rPr>
          <w:t xml:space="preserve">CanLII (ON CA)</w:t>
        </w:r>
      </w:hyperlink>
      <w:r>
        <w:t xml:space="preserve"> </w:t>
      </w:r>
      <w:r>
        <w:t xml:space="preserve">·</w:t>
      </w:r>
      <w:r>
        <w:t xml:space="preserve"> </w:t>
      </w:r>
      <w:hyperlink r:id="rId52">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3"/>
    <w:bookmarkEnd w:id="54"/>
    <w:bookmarkStart w:id="58"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55"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55"/>
    <w:bookmarkStart w:id="56"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56"/>
    <w:bookmarkStart w:id="57"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 search</w:t>
      </w:r>
      <w:r>
        <w:t xml:space="preserve"> </w:t>
      </w:r>
      <w:r>
        <w:t xml:space="preserve">“</w:t>
      </w:r>
      <w:r>
        <w:t xml:space="preserve">State v. Talbott 200 Wn.2d 731</w:t>
      </w:r>
      <w:r>
        <w:t xml:space="preserve">”</w:t>
      </w:r>
      <w:r>
        <w:t xml:space="preserve"> </w:t>
      </w:r>
      <w:r>
        <w:t xml:space="preserve">(courts.wa.gov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57"/>
    <w:bookmarkEnd w:id="58"/>
    <w:bookmarkStart w:id="63"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59"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59"/>
    <w:bookmarkStart w:id="60"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0"/>
    <w:bookmarkStart w:id="62"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1">
        <w:r>
          <w:rPr>
            <w:rStyle w:val="Hyperlink"/>
          </w:rPr>
          <w:t xml:space="preserve">FindLaw</w:t>
        </w:r>
      </w:hyperlink>
      <w:r>
        <w:t xml:space="preserve"> </w:t>
      </w:r>
      <w:r>
        <w:t xml:space="preserve">(search</w:t>
      </w:r>
      <w:r>
        <w:t xml:space="preserve"> </w:t>
      </w:r>
      <w:r>
        <w:t xml:space="preserve">“</w:t>
      </w:r>
      <w:r>
        <w:t xml:space="preserve">State v. Hartman</w:t>
      </w:r>
      <w:r>
        <w:t xml:space="preserve"> </w:t>
      </w:r>
      <w:r>
        <w:t xml:space="preserve">2023</w:t>
      </w:r>
      <w:r>
        <w:t xml:space="preserve">”</w:t>
      </w:r>
      <w:r>
        <w:t xml:space="preserve">) · courts.wa.gov.</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Vaultz</w:t>
      </w:r>
      <w:r>
        <w:t xml:space="preserve">,</w:t>
      </w:r>
      <w:r>
        <w:t xml:space="preserve"> </w:t>
      </w:r>
      <w:r>
        <w:t xml:space="preserve">No. B323590 (Cal. Ct. App. 2024), affirming a California genetic-genealogy</w:t>
      </w:r>
      <w:r>
        <w:t xml:space="preserve"> </w:t>
      </w:r>
      <w:r>
        <w:t xml:space="preserve">conviction.</w:t>
      </w:r>
    </w:p>
    <w:bookmarkEnd w:id="62"/>
    <w:bookmarkEnd w:id="63"/>
    <w:bookmarkStart w:id="68"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64"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64"/>
    <w:bookmarkStart w:id="65"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65"/>
    <w:bookmarkStart w:id="67"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66">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67"/>
    <w:bookmarkEnd w:id="68"/>
    <w:bookmarkStart w:id="73"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69"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69"/>
    <w:bookmarkStart w:id="70"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0"/>
    <w:bookmarkStart w:id="72"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1">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2"/>
    <w:bookmarkEnd w:id="73"/>
    <w:bookmarkStart w:id="79"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74"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74"/>
    <w:bookmarkStart w:id="75"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75"/>
    <w:bookmarkStart w:id="76"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76"/>
    <w:bookmarkStart w:id="78"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77">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 Chapter 10).</w:t>
      </w:r>
    </w:p>
    <w:bookmarkEnd w:id="78"/>
    <w:bookmarkEnd w:id="79"/>
    <w:bookmarkStart w:id="86"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other side of every</w:t>
      </w:r>
      <w:r>
        <w:t xml:space="preserve"> </w:t>
      </w:r>
      <w:r>
        <w:t xml:space="preserve">tracks there are,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0"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0"/>
    <w:bookmarkStart w:id="81"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81"/>
    <w:bookmarkStart w:id="82"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82"/>
    <w:bookmarkStart w:id="83"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83"/>
    <w:bookmarkStart w:id="85"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84">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85"/>
    <w:bookmarkEnd w:id="86"/>
    <w:bookmarkStart w:id="92"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87"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87"/>
    <w:bookmarkStart w:id="88"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88"/>
    <w:bookmarkStart w:id="89"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89"/>
    <w:bookmarkStart w:id="91"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0">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91"/>
    <w:bookmarkEnd w:id="92"/>
    <w:bookmarkStart w:id="98"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93"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93"/>
    <w:bookmarkStart w:id="94"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94"/>
    <w:bookmarkStart w:id="95"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95"/>
    <w:bookmarkStart w:id="97"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96">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97"/>
    <w:bookmarkEnd w:id="98"/>
    <w:bookmarkStart w:id="104" w:name="Xc6739a0a9df3fc64d7d506c1b8a512a6603a993"/>
    <w:p>
      <w:pPr>
        <w:pStyle w:val="Heading1"/>
      </w:pPr>
      <w:r>
        <w:t xml:space="preserve">Chapter 16 -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99"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99"/>
    <w:bookmarkStart w:id="100"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00"/>
    <w:bookmarkStart w:id="101"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01"/>
    <w:bookmarkStart w:id="103" w:name="howd-he-get-caught-9"/>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02">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w:t>
      </w:r>
    </w:p>
    <w:bookmarkEnd w:id="103"/>
    <w:bookmarkEnd w:id="104"/>
    <w:bookmarkStart w:id="109" w:name="X12481cf3d42f24a4481acf69b16913fb2b74ae2"/>
    <w:p>
      <w:pPr>
        <w:pStyle w:val="Heading1"/>
      </w:pPr>
      <w:r>
        <w:t xml:space="preserve">Chapter 17 -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05"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05"/>
    <w:bookmarkStart w:id="106"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06"/>
    <w:bookmarkStart w:id="108" w:name="howd-she-get-caught-1"/>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07">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08"/>
    <w:bookmarkEnd w:id="109"/>
    <w:bookmarkStart w:id="115" w:name="X224a54cfbe12541b911ec8945192b5378e1e509"/>
    <w:p>
      <w:pPr>
        <w:pStyle w:val="Heading1"/>
      </w:pPr>
      <w:r>
        <w:t xml:space="preserve">Chapter 18 -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10"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10"/>
    <w:bookmarkStart w:id="111"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11"/>
    <w:bookmarkStart w:id="112"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12"/>
    <w:bookmarkStart w:id="114" w:name="howd-he-get-caught-10"/>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13">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14"/>
    <w:bookmarkEnd w:id="115"/>
    <w:bookmarkStart w:id="121" w:name="chapter-19---the-letter-from-the-grave"/>
    <w:p>
      <w:pPr>
        <w:pStyle w:val="Heading1"/>
      </w:pPr>
      <w:r>
        <w:t xml:space="preserve">Chapter 19 -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16"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16"/>
    <w:bookmarkStart w:id="117"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17"/>
    <w:bookmarkStart w:id="120" w:name="howd-he-get-caught-11"/>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18">
        <w:r>
          <w:rPr>
            <w:rStyle w:val="Hyperlink"/>
          </w:rPr>
          <w:t xml:space="preserve">Justia</w:t>
        </w:r>
      </w:hyperlink>
      <w:r>
        <w:t xml:space="preserve"> </w:t>
      </w:r>
      <w:r>
        <w:t xml:space="preserve">· official PDF via</w:t>
      </w:r>
      <w:r>
        <w:t xml:space="preserve"> </w:t>
      </w:r>
      <w:hyperlink r:id="rId119">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(for the underlying trial evidence, incl. the family</w:t>
      </w:r>
      <w:r>
        <w:rPr>
          <w:bCs/>
          <w:b/>
        </w:rPr>
        <w:t xml:space="preserve"> </w:t>
      </w:r>
      <w:r>
        <w:rPr>
          <w:bCs/>
          <w:b/>
        </w:rPr>
        <w:t xml:space="preserve">computer forensics):</w:t>
      </w:r>
      <w:r>
        <w:t xml:space="preserve"> </w:t>
      </w:r>
      <w:r>
        <w:rPr>
          <w:iCs/>
          <w:i/>
        </w:rPr>
        <w:t xml:space="preserve">State v. Jensen</w:t>
      </w:r>
      <w:r>
        <w:t xml:space="preserve">, 2011 WI App 3, 331 Wis. 2d 440 -</w:t>
      </w:r>
      <w:r>
        <w:t xml:space="preserve"> </w:t>
      </w:r>
      <w:r>
        <w:t xml:space="preserve">on the pull list.</w:t>
      </w:r>
    </w:p>
    <w:bookmarkEnd w:id="120"/>
    <w:bookmarkEnd w:id="121"/>
    <w:bookmarkStart w:id="128" w:name="X958002ca02448356755196d87203e85c6cf932e"/>
    <w:p>
      <w:pPr>
        <w:pStyle w:val="Heading1"/>
      </w:pPr>
      <w:r>
        <w:t xml:space="preserve">Chapter 21 -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22"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22"/>
    <w:bookmarkStart w:id="123"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23"/>
    <w:bookmarkStart w:id="124"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24"/>
    <w:bookmarkStart w:id="127" w:name="howd-he-get-caught-12"/>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25">
        <w:r>
          <w:rPr>
            <w:rStyle w:val="Hyperlink"/>
          </w:rPr>
          <w:t xml:space="preserve">Justia</w:t>
        </w:r>
      </w:hyperlink>
      <w:r>
        <w:t xml:space="preserve"> </w:t>
      </w:r>
      <w:r>
        <w:t xml:space="preserve">· official slip opinion via the</w:t>
      </w:r>
      <w:r>
        <w:t xml:space="preserve"> </w:t>
      </w:r>
      <w:hyperlink r:id="rId126">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27"/>
    <w:bookmarkEnd w:id="128"/>
    <w:bookmarkStart w:id="137" w:name="chapter-22---twelve-steps"/>
    <w:p>
      <w:pPr>
        <w:pStyle w:val="Heading1"/>
      </w:pPr>
      <w:r>
        <w:t xml:space="preserve">Chapter 22 -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29"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29"/>
    <w:bookmarkStart w:id="130"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Stephen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30"/>
    <w:bookmarkStart w:id="131"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31"/>
    <w:bookmarkStart w:id="132"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32"/>
    <w:bookmarkStart w:id="133"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33"/>
    <w:bookmarkStart w:id="136" w:name="howd-he-get-caught-13"/>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34">
        <w:r>
          <w:rPr>
            <w:rStyle w:val="Hyperlink"/>
          </w:rPr>
          <w:t xml:space="preserve">CourtListener</w:t>
        </w:r>
      </w:hyperlink>
      <w:r>
        <w:t xml:space="preserve"> </w:t>
      </w:r>
      <w:r>
        <w:t xml:space="preserve">·</w:t>
      </w:r>
      <w:r>
        <w:t xml:space="preserve"> </w:t>
      </w:r>
      <w:hyperlink r:id="rId135">
        <w:r>
          <w:rPr>
            <w:rStyle w:val="Hyperlink"/>
          </w:rPr>
          <w:t xml:space="preserve">Justia</w:t>
        </w:r>
      </w:hyperlink>
      <w:r>
        <w:t xml:space="preserve"> </w:t>
      </w:r>
      <w:r>
        <w:t xml:space="preserve">· official PDF via</w:t>
      </w:r>
      <w:r>
        <w:t xml:space="preserve"> </w:t>
      </w:r>
      <w:hyperlink r:id="rId119">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36"/>
    <w:bookmarkEnd w:id="137"/>
    <w:bookmarkStart w:id="142" w:name="X6286e49a5d2835d1750bbfc5643f89e51b5db7b"/>
    <w:p>
      <w:pPr>
        <w:pStyle w:val="Heading1"/>
      </w:pPr>
      <w:r>
        <w:t xml:space="preserve">Chapter 24 -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38"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38"/>
    <w:bookmarkStart w:id="139"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39"/>
    <w:bookmarkStart w:id="141" w:name="howd-he-get-caught-14"/>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40">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41"/>
    <w:bookmarkEnd w:id="142"/>
    <w:bookmarkStart w:id="147" w:name="X96e653f0d38642f87a2a5a557db7a4bf4805008"/>
    <w:p>
      <w:pPr>
        <w:pStyle w:val="Heading1"/>
      </w:pPr>
      <w:r>
        <w:t xml:space="preserve">Chapter 25 -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43"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43"/>
    <w:bookmarkStart w:id="144"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44"/>
    <w:bookmarkStart w:id="146" w:name="howd-he-get-caught-15"/>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45">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46"/>
    <w:bookmarkEnd w:id="147"/>
    <w:bookmarkStart w:id="153" w:name="chapter-26---what-happens-when-you-die"/>
    <w:p>
      <w:pPr>
        <w:pStyle w:val="Heading1"/>
      </w:pPr>
      <w:r>
        <w:t xml:space="preserve">Chapter 26 -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48"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48"/>
    <w:bookmarkStart w:id="149"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49"/>
    <w:bookmarkStart w:id="150"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50"/>
    <w:bookmarkStart w:id="152"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51">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52"/>
    <w:bookmarkEnd w:id="153"/>
    <w:bookmarkStart w:id="160" w:name="chapter-31---mr.-big"/>
    <w:p>
      <w:pPr>
        <w:pStyle w:val="Heading1"/>
      </w:pPr>
      <w:r>
        <w:t xml:space="preserve">Chapter 31 -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154"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154"/>
    <w:bookmarkStart w:id="155"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155"/>
    <w:bookmarkStart w:id="156"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32),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156"/>
    <w:bookmarkStart w:id="159"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157">
        <w:r>
          <w:rPr>
            <w:rStyle w:val="Hyperlink"/>
          </w:rPr>
          <w:t xml:space="preserve">CanLII</w:t>
        </w:r>
      </w:hyperlink>
      <w:r>
        <w:t xml:space="preserve"> </w:t>
      </w:r>
      <w:r>
        <w:t xml:space="preserve">·</w:t>
      </w:r>
      <w:r>
        <w:t xml:space="preserve"> </w:t>
      </w:r>
      <w:hyperlink r:id="rId158">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159"/>
    <w:bookmarkEnd w:id="160"/>
    <w:bookmarkStart w:id="166" w:name="chapter-32---the-firepit"/>
    <w:p>
      <w:pPr>
        <w:pStyle w:val="Heading1"/>
      </w:pPr>
      <w:r>
        <w:t xml:space="preserve">Chapter 32 -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161"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161"/>
    <w:bookmarkStart w:id="162"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162"/>
    <w:bookmarkStart w:id="163"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31)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163"/>
    <w:bookmarkStart w:id="165" w:name="howd-he-get-caught-16"/>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164">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31), the case</w:t>
      </w:r>
      <w:r>
        <w:t xml:space="preserve"> </w:t>
      </w:r>
      <w:r>
        <w:t xml:space="preserve">that built the framework this confession survived.</w:t>
      </w:r>
    </w:p>
    <w:bookmarkEnd w:id="165"/>
    <w:bookmarkEnd w:id="166"/>
    <w:bookmarkStart w:id="171" w:name="X44161c9475b97d82ff178b417790f26a85aa4be"/>
    <w:p>
      <w:pPr>
        <w:pStyle w:val="Heading1"/>
      </w:pPr>
      <w:r>
        <w:t xml:space="preserve">Chapter 37 -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167"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167"/>
    <w:bookmarkStart w:id="168"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168"/>
    <w:bookmarkStart w:id="170" w:name="howd-he-get-caught-17"/>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169">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38) and</w:t>
      </w:r>
      <w:r>
        <w:t xml:space="preserve"> </w:t>
      </w:r>
      <w:r>
        <w:rPr>
          <w:iCs/>
          <w:i/>
        </w:rPr>
        <w:t xml:space="preserve">Howard v. State</w:t>
      </w:r>
      <w:r>
        <w:t xml:space="preserve"> </w:t>
      </w:r>
      <w:r>
        <w:t xml:space="preserve">(Chapter 39).</w:t>
      </w:r>
    </w:p>
    <w:bookmarkEnd w:id="170"/>
    <w:bookmarkEnd w:id="171"/>
    <w:bookmarkStart w:id="177" w:name="chapter-38---the-snaggletooth-killer"/>
    <w:p>
      <w:pPr>
        <w:pStyle w:val="Heading1"/>
      </w:pPr>
      <w:r>
        <w:t xml:space="preserve">Chapter 38 -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172"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172"/>
    <w:bookmarkStart w:id="173"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173"/>
    <w:bookmarkStart w:id="174"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174"/>
    <w:bookmarkStart w:id="176"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175">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37)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39).</w:t>
      </w:r>
    </w:p>
    <w:bookmarkEnd w:id="176"/>
    <w:bookmarkEnd w:id="177"/>
    <w:bookmarkStart w:id="182" w:name="Xc5d5d1253fa8c7605d89df4e731a600b3c4bb7d"/>
    <w:p>
      <w:pPr>
        <w:pStyle w:val="Heading1"/>
      </w:pPr>
      <w:r>
        <w:t xml:space="preserve">Chapter 39 -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178"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teenager’s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178"/>
    <w:bookmarkStart w:id="179"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179"/>
    <w:bookmarkStart w:id="181"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No. 2018-CA-01586-SCT</w:t>
      </w:r>
      <w:r>
        <w:t xml:space="preserve"> </w:t>
      </w:r>
      <w:r>
        <w:t xml:space="preserve">(Miss. 2020) (reported at 300 So. 3d 1011 - confirm the reporter page),</w:t>
      </w:r>
      <w:r>
        <w:t xml:space="preserve"> </w:t>
      </w:r>
      <w:r>
        <w:t xml:space="preserve">Supreme Court of Mississippi, decided 2020.</w:t>
      </w:r>
      <w:r>
        <w:t xml:space="preserve"> </w:t>
      </w:r>
      <w:r>
        <w:t xml:space="preserve">Free online:</w:t>
      </w:r>
      <w:r>
        <w:t xml:space="preserve"> </w:t>
      </w:r>
      <w:hyperlink r:id="rId180">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37) and</w:t>
      </w:r>
      <w:r>
        <w:t xml:space="preserve"> </w:t>
      </w:r>
      <w:r>
        <w:rPr>
          <w:iCs/>
          <w:i/>
        </w:rPr>
        <w:t xml:space="preserve">State v. Krone</w:t>
      </w:r>
      <w:r>
        <w:t xml:space="preserve"> </w:t>
      </w:r>
      <w:r>
        <w:t xml:space="preserve">(Chapter 38) complete the bite-mark arc.</w:t>
      </w:r>
    </w:p>
    <w:bookmarkEnd w:id="181"/>
    <w:bookmarkEnd w:id="182"/>
    <w:bookmarkStart w:id="186" w:name="chapter-40---the-flies-that-never-came"/>
    <w:p>
      <w:pPr>
        <w:pStyle w:val="Heading1"/>
      </w:pPr>
      <w:r>
        <w:t xml:space="preserve">Chapter 40 -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183"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183"/>
    <w:bookmarkStart w:id="184"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184"/>
    <w:bookmarkStart w:id="185"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 and</w:t>
      </w:r>
      <w:r>
        <w:t xml:space="preserve"> </w:t>
      </w:r>
      <w:r>
        <w:rPr>
          <w:iCs/>
          <w:i/>
        </w:rPr>
        <w:t xml:space="preserve">Howard</w:t>
      </w:r>
      <w:r>
        <w:t xml:space="preserve"> </w:t>
      </w:r>
      <w:r>
        <w:t xml:space="preserve">(39); the Canadian bookend is</w:t>
      </w:r>
      <w:r>
        <w:t xml:space="preserve"> </w:t>
      </w:r>
      <w:r>
        <w:rPr>
          <w:iCs/>
          <w:i/>
        </w:rPr>
        <w:t xml:space="preserve">R. v. Truscott</w:t>
      </w:r>
      <w:r>
        <w:t xml:space="preserve"> </w:t>
      </w:r>
      <w:r>
        <w:t xml:space="preserve">(Chapter 41).</w:t>
      </w:r>
    </w:p>
    <w:bookmarkEnd w:id="185"/>
    <w:bookmarkEnd w:id="186"/>
    <w:bookmarkStart w:id="191" w:name="Xb6275e81e8ed2caac70c8c4fbdf111eb2d1fdd2"/>
    <w:p>
      <w:pPr>
        <w:pStyle w:val="Heading1"/>
      </w:pPr>
      <w:r>
        <w:t xml:space="preserve">Chapter 41 -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187"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187"/>
    <w:bookmarkStart w:id="188"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188"/>
    <w:bookmarkStart w:id="190"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189">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w:t>
      </w:r>
      <w:r>
        <w:t xml:space="preserve"> </w:t>
      </w:r>
      <w:r>
        <w:rPr>
          <w:iCs/>
          <w:i/>
        </w:rPr>
        <w:t xml:space="preserve">Howard</w:t>
      </w:r>
      <w:r>
        <w:t xml:space="preserve"> </w:t>
      </w:r>
      <w:r>
        <w:t xml:space="preserve">(39), and</w:t>
      </w:r>
      <w:r>
        <w:t xml:space="preserve"> </w:t>
      </w:r>
      <w:r>
        <w:rPr>
          <w:iCs/>
          <w:i/>
        </w:rPr>
        <w:t xml:space="preserve">Lobato</w:t>
      </w:r>
      <w:r>
        <w:t xml:space="preserve"> </w:t>
      </w:r>
      <w:r>
        <w:t xml:space="preserve">(40); this is its Canadian bookend and the</w:t>
      </w:r>
      <w:r>
        <w:t xml:space="preserve"> </w:t>
      </w:r>
      <w:r>
        <w:t xml:space="preserve">book’s closing chapter.</w:t>
      </w:r>
    </w:p>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aselaw.findlaw.com/" TargetMode="External" /><Relationship Type="http://schemas.openxmlformats.org/officeDocument/2006/relationships/hyperlink" Id="rId158" Target="https://decisions.scc-csc.ca/scc-csc/scc-csc/en/item/14231/index.do" TargetMode="External" /><Relationship Type="http://schemas.openxmlformats.org/officeDocument/2006/relationships/hyperlink" Id="rId175" Target="https://law.justia.com/cases/arizona/supreme-court/1995/cr-92-0480-ap-2.html" TargetMode="External" /><Relationship Type="http://schemas.openxmlformats.org/officeDocument/2006/relationships/hyperlink" Id="rId96" Target="https://law.justia.com/cases/california/supreme-court/2020/s132449.html" TargetMode="External" /><Relationship Type="http://schemas.openxmlformats.org/officeDocument/2006/relationships/hyperlink" Id="rId125" Target="https://law.justia.com/cases/connecticut/supreme-court/2025/sc20749.html" TargetMode="External" /><Relationship Type="http://schemas.openxmlformats.org/officeDocument/2006/relationships/hyperlink" Id="rId169"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80" Target="https://law.justia.com/cases/mississippi/supreme-court/2020/2018-ca-01586-sct.html" TargetMode="External" /><Relationship Type="http://schemas.openxmlformats.org/officeDocument/2006/relationships/hyperlink" Id="rId118" Target="https://law.justia.com/cases/wisconsin/supreme-court/2021/2018ap001952-cr.html" TargetMode="External" /><Relationship Type="http://schemas.openxmlformats.org/officeDocument/2006/relationships/hyperlink" Id="rId135" Target="https://law.justia.com/cases/wisconsin/supreme-court/2021/2019ap001404-cr.html" TargetMode="External" /><Relationship Type="http://schemas.openxmlformats.org/officeDocument/2006/relationships/hyperlink" Id="rId102"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57" Target="https://www.canlii.org/en/ca/scc/doc/2014/2014scc52/2014scc52.html" TargetMode="External" /><Relationship Type="http://schemas.openxmlformats.org/officeDocument/2006/relationships/hyperlink" Id="rId164" Target="https://www.canlii.org/en/ca/scc/doc/2014/2014scc58/2014scc58.html" TargetMode="External" /><Relationship Type="http://schemas.openxmlformats.org/officeDocument/2006/relationships/hyperlink" Id="rId145"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13"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89" Target="https://www.canlii.org/en/on/onca/doc/2007/2007onca575/2007onca575.html" TargetMode="External" /><Relationship Type="http://schemas.openxmlformats.org/officeDocument/2006/relationships/hyperlink" Id="rId107" Target="https://www.canlii.org/en/on/onca/doc/2014/2014onca153/2014onca153.html" TargetMode="External" /><Relationship Type="http://schemas.openxmlformats.org/officeDocument/2006/relationships/hyperlink" Id="rId140" Target="https://www.canlii.org/en/on/onca/doc/2014/2014onca842/2014onca842.html" TargetMode="External" /><Relationship Type="http://schemas.openxmlformats.org/officeDocument/2006/relationships/hyperlink" Id="rId90" Target="https://www.canlii.org/en/on/onca/doc/2022/2022onca689/2022onca689.html" TargetMode="External" /><Relationship Type="http://schemas.openxmlformats.org/officeDocument/2006/relationships/hyperlink" Id="rId77" Target="https://www.canlii.org/en/on/onca/doc/2023/2023onca418/2023onca418.html" TargetMode="External" /><Relationship Type="http://schemas.openxmlformats.org/officeDocument/2006/relationships/hyperlink" Id="rId84" Target="https://www.canlii.org/en/on/onca/doc/2023/2023onca426/2023onca426.html" TargetMode="External" /><Relationship Type="http://schemas.openxmlformats.org/officeDocument/2006/relationships/hyperlink" Id="rId151"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34" Target="https://www.courtlistener.com/opinion/4896044/state-v-george-steven-burch/" TargetMode="External" /><Relationship Type="http://schemas.openxmlformats.org/officeDocument/2006/relationships/hyperlink" Id="rId126" Target="https://www.jud.ct.gov" TargetMode="External" /><Relationship Type="http://schemas.openxmlformats.org/officeDocument/2006/relationships/hyperlink" Id="rId119"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61" Target="https://caselaw.findlaw.com/" TargetMode="External" /><Relationship Type="http://schemas.openxmlformats.org/officeDocument/2006/relationships/hyperlink" Id="rId158" Target="https://decisions.scc-csc.ca/scc-csc/scc-csc/en/item/14231/index.do" TargetMode="External" /><Relationship Type="http://schemas.openxmlformats.org/officeDocument/2006/relationships/hyperlink" Id="rId175" Target="https://law.justia.com/cases/arizona/supreme-court/1995/cr-92-0480-ap-2.html" TargetMode="External" /><Relationship Type="http://schemas.openxmlformats.org/officeDocument/2006/relationships/hyperlink" Id="rId96" Target="https://law.justia.com/cases/california/supreme-court/2020/s132449.html" TargetMode="External" /><Relationship Type="http://schemas.openxmlformats.org/officeDocument/2006/relationships/hyperlink" Id="rId125" Target="https://law.justia.com/cases/connecticut/supreme-court/2025/sc20749.html" TargetMode="External" /><Relationship Type="http://schemas.openxmlformats.org/officeDocument/2006/relationships/hyperlink" Id="rId169"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80" Target="https://law.justia.com/cases/mississippi/supreme-court/2020/2018-ca-01586-sct.html" TargetMode="External" /><Relationship Type="http://schemas.openxmlformats.org/officeDocument/2006/relationships/hyperlink" Id="rId118" Target="https://law.justia.com/cases/wisconsin/supreme-court/2021/2018ap001952-cr.html" TargetMode="External" /><Relationship Type="http://schemas.openxmlformats.org/officeDocument/2006/relationships/hyperlink" Id="rId135" Target="https://law.justia.com/cases/wisconsin/supreme-court/2021/2019ap001404-cr.html" TargetMode="External" /><Relationship Type="http://schemas.openxmlformats.org/officeDocument/2006/relationships/hyperlink" Id="rId102"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57" Target="https://www.canlii.org/en/ca/scc/doc/2014/2014scc52/2014scc52.html" TargetMode="External" /><Relationship Type="http://schemas.openxmlformats.org/officeDocument/2006/relationships/hyperlink" Id="rId164" Target="https://www.canlii.org/en/ca/scc/doc/2014/2014scc58/2014scc58.html" TargetMode="External" /><Relationship Type="http://schemas.openxmlformats.org/officeDocument/2006/relationships/hyperlink" Id="rId145"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13"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89" Target="https://www.canlii.org/en/on/onca/doc/2007/2007onca575/2007onca575.html" TargetMode="External" /><Relationship Type="http://schemas.openxmlformats.org/officeDocument/2006/relationships/hyperlink" Id="rId107" Target="https://www.canlii.org/en/on/onca/doc/2014/2014onca153/2014onca153.html" TargetMode="External" /><Relationship Type="http://schemas.openxmlformats.org/officeDocument/2006/relationships/hyperlink" Id="rId140" Target="https://www.canlii.org/en/on/onca/doc/2014/2014onca842/2014onca842.html" TargetMode="External" /><Relationship Type="http://schemas.openxmlformats.org/officeDocument/2006/relationships/hyperlink" Id="rId90" Target="https://www.canlii.org/en/on/onca/doc/2022/2022onca689/2022onca689.html" TargetMode="External" /><Relationship Type="http://schemas.openxmlformats.org/officeDocument/2006/relationships/hyperlink" Id="rId77" Target="https://www.canlii.org/en/on/onca/doc/2023/2023onca418/2023onca418.html" TargetMode="External" /><Relationship Type="http://schemas.openxmlformats.org/officeDocument/2006/relationships/hyperlink" Id="rId84" Target="https://www.canlii.org/en/on/onca/doc/2023/2023onca426/2023onca426.html" TargetMode="External" /><Relationship Type="http://schemas.openxmlformats.org/officeDocument/2006/relationships/hyperlink" Id="rId151"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34" Target="https://www.courtlistener.com/opinion/4896044/state-v-george-steven-burch/" TargetMode="External" /><Relationship Type="http://schemas.openxmlformats.org/officeDocument/2006/relationships/hyperlink" Id="rId126" Target="https://www.jud.ct.gov" TargetMode="External" /><Relationship Type="http://schemas.openxmlformats.org/officeDocument/2006/relationships/hyperlink" Id="rId119"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2026-07-02T16:40:28Z</dcterms:created>
  <dcterms:modified xsi:type="dcterms:W3CDTF">2026-07-02T16:40:28Z</dcterms:modified>
</cp:coreProperties>
</file>

<file path=docProps/custom.xml><?xml version="1.0" encoding="utf-8"?>
<Properties xmlns="http://schemas.openxmlformats.org/officeDocument/2006/custom-properties" xmlns:vt="http://schemas.openxmlformats.org/officeDocument/2006/docPropsVTypes"/>
</file>