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6f594670ee5accc6fa06d032b7a5604b8c04ff"/>
    <w:p>
      <w:pPr>
        <w:pStyle w:val="Heading1"/>
      </w:pPr>
      <w:r>
        <w:t xml:space="preserve">Chapter 12 - The Home Invasion That Wasn’t</w:t>
      </w:r>
    </w:p>
    <w:p>
      <w:pPr>
        <w:pStyle w:val="FirstParagraph"/>
      </w:pPr>
      <w:r>
        <w:rPr>
          <w:bCs/>
          <w:b/>
        </w:rPr>
        <w:t xml:space="preserve">She called 911 to report a home invasion, and police found her tied to the</w:t>
      </w:r>
      <w:r>
        <w:rPr>
          <w:bCs/>
          <w:b/>
        </w:rPr>
        <w:t xml:space="preserve"> </w:t>
      </w:r>
      <w:r>
        <w:rPr>
          <w:bCs/>
          <w:b/>
        </w:rPr>
        <w:t xml:space="preserve">banister. But the intruders had shot both her parents and left her without a</w:t>
      </w:r>
      <w:r>
        <w:rPr>
          <w:bCs/>
          <w:b/>
        </w:rPr>
        <w:t xml:space="preserve"> </w:t>
      </w:r>
      <w:r>
        <w:rPr>
          <w:bCs/>
          <w:b/>
        </w:rPr>
        <w:t xml:space="preserve">scratch, and in a house they had supposedly come to rob, her mother’s car keys</w:t>
      </w:r>
      <w:r>
        <w:rPr>
          <w:bCs/>
          <w:b/>
        </w:rPr>
        <w:t xml:space="preserve"> </w:t>
      </w:r>
      <w:r>
        <w:rPr>
          <w:bCs/>
          <w:b/>
        </w:rPr>
        <w:t xml:space="preserve">sat untouched.</w:t>
      </w:r>
    </w:p>
    <w:p>
      <w:pPr>
        <w:pStyle w:val="BodyText"/>
      </w:pPr>
      <w:r>
        <w:t xml:space="preserve">A staged crime scene is a story told in objects, and like any liar, it can be</w:t>
      </w:r>
      <w:r>
        <w:t xml:space="preserve"> </w:t>
      </w:r>
      <w:r>
        <w:t xml:space="preserve">caught in a contradiction. The scene Jennifer Pan presented to the police on the</w:t>
      </w:r>
      <w:r>
        <w:t xml:space="preserve"> </w:t>
      </w:r>
      <w:r>
        <w:t xml:space="preserve">night of November 8, 2010, told one story out loud and another under its breath,</w:t>
      </w:r>
      <w:r>
        <w:t xml:space="preserve"> </w:t>
      </w:r>
      <w:r>
        <w:t xml:space="preserve">and the gap between them, widened by a mountain of digital evidence, is what</w:t>
      </w:r>
      <w:r>
        <w:t xml:space="preserve"> </w:t>
      </w:r>
      <w:r>
        <w:t xml:space="preserve">unravelled a daughter’s plot to have her own parents murdered.</w:t>
      </w:r>
    </w:p>
    <w:p>
      <w:pPr>
        <w:pStyle w:val="BodyText"/>
      </w:pPr>
      <w:r>
        <w:t xml:space="preserve">That night, in a subdivision in Markham, Ontario, three men entered the home Pan</w:t>
      </w:r>
      <w:r>
        <w:t xml:space="preserve"> </w:t>
      </w:r>
      <w:r>
        <w:t xml:space="preserve">shared with her mother and father, Bich-Ha Pan and Hann Pan. The men took control</w:t>
      </w:r>
      <w:r>
        <w:t xml:space="preserve"> </w:t>
      </w:r>
      <w:r>
        <w:t xml:space="preserve">of the family, marched the parents down to the basement, and shot them. Then they</w:t>
      </w:r>
      <w:r>
        <w:t xml:space="preserve"> </w:t>
      </w:r>
      <w:r>
        <w:t xml:space="preserve">left, and, tellingly, they left Jennifer Pan behind, unharmed. A neighbour’s</w:t>
      </w:r>
      <w:r>
        <w:t xml:space="preserve"> </w:t>
      </w:r>
      <w:r>
        <w:t xml:space="preserve">surveillance camera caught the choreography with quiet precision: three people</w:t>
      </w:r>
      <w:r>
        <w:t xml:space="preserve"> </w:t>
      </w:r>
      <w:r>
        <w:t xml:space="preserve">entering at 10:14 p.m., one leaving at 10:30, two more by 10:32.</w:t>
      </w:r>
    </w:p>
    <w:p>
      <w:pPr>
        <w:pStyle w:val="BodyText"/>
      </w:pPr>
      <w:r>
        <w:t xml:space="preserve">Pan called 911 to report a home invasion and a shooting. When officers arrived,</w:t>
      </w:r>
      <w:r>
        <w:t xml:space="preserve"> </w:t>
      </w:r>
      <w:r>
        <w:t xml:space="preserve">they found her tied to a banister. Her father, gravely wounded, had managed to</w:t>
      </w:r>
      <w:r>
        <w:t xml:space="preserve"> </w:t>
      </w:r>
      <w:r>
        <w:t xml:space="preserve">drag himself to a neighbour’s house. Her mother died that evening. Her father,</w:t>
      </w:r>
      <w:r>
        <w:t xml:space="preserve"> </w:t>
      </w:r>
      <w:r>
        <w:t xml:space="preserve">against the odds, survived, and survival made him a witness.</w:t>
      </w:r>
    </w:p>
    <w:bookmarkStart w:id="20" w:name="the-story-the-objects-wouldnt-tell"/>
    <w:p>
      <w:pPr>
        <w:pStyle w:val="Heading2"/>
      </w:pPr>
      <w:r>
        <w:t xml:space="preserve">The story the objects wouldn’t tell</w:t>
      </w:r>
    </w:p>
    <w:p>
      <w:pPr>
        <w:pStyle w:val="FirstParagraph"/>
      </w:pPr>
      <w:r>
        <w:t xml:space="preserve">On its face, it was a home invasion gone horribly wrong, a robbery turned double</w:t>
      </w:r>
      <w:r>
        <w:t xml:space="preserve"> </w:t>
      </w:r>
      <w:r>
        <w:t xml:space="preserve">shooting. But the scene, examined closely, kept refusing to cooperate with that</w:t>
      </w:r>
      <w:r>
        <w:t xml:space="preserve"> </w:t>
      </w:r>
      <w:r>
        <w:t xml:space="preserve">story.</w:t>
      </w:r>
    </w:p>
    <w:p>
      <w:pPr>
        <w:pStyle w:val="BodyText"/>
      </w:pPr>
      <w:r>
        <w:t xml:space="preserve">Start with Jennifer Pan herself. Three armed men had taken control of a household,</w:t>
      </w:r>
      <w:r>
        <w:t xml:space="preserve"> </w:t>
      </w:r>
      <w:r>
        <w:t xml:space="preserve">executed both parents in the basement, and then, rather than eliminate the one</w:t>
      </w:r>
      <w:r>
        <w:t xml:space="preserve"> </w:t>
      </w:r>
      <w:r>
        <w:t xml:space="preserve">adult witness who could describe them, gently left her alive and tied to a</w:t>
      </w:r>
      <w:r>
        <w:t xml:space="preserve"> </w:t>
      </w:r>
      <w:r>
        <w:t xml:space="preserve">banister. Killers who have just shot two people do not usually leave the third</w:t>
      </w:r>
      <w:r>
        <w:t xml:space="preserve"> </w:t>
      </w:r>
      <w:r>
        <w:t xml:space="preserve">carefully unharmed. Then consider what the</w:t>
      </w:r>
      <w:r>
        <w:t xml:space="preserve"> </w:t>
      </w:r>
      <w:r>
        <w:t xml:space="preserve">“</w:t>
      </w:r>
      <w:r>
        <w:t xml:space="preserve">robbers</w:t>
      </w:r>
      <w:r>
        <w:t xml:space="preserve">”</w:t>
      </w:r>
      <w:r>
        <w:t xml:space="preserve"> </w:t>
      </w:r>
      <w:r>
        <w:t xml:space="preserve">took, which was next to</w:t>
      </w:r>
      <w:r>
        <w:t xml:space="preserve"> </w:t>
      </w:r>
      <w:r>
        <w:t xml:space="preserve">nothing. They had demanded money, and the master bedroom looked ransacked, but the</w:t>
      </w:r>
      <w:r>
        <w:t xml:space="preserve"> </w:t>
      </w:r>
      <w:r>
        <w:t xml:space="preserve">valuables that a real thief grabs on the way out were left sitting in place. Most</w:t>
      </w:r>
      <w:r>
        <w:t xml:space="preserve"> </w:t>
      </w:r>
      <w:r>
        <w:t xml:space="preserve">tellingly of all, the keys to Pan’s mother’s car, parked right there in the</w:t>
      </w:r>
      <w:r>
        <w:t xml:space="preserve"> </w:t>
      </w:r>
      <w:r>
        <w:t xml:space="preserve">driveway, an easy prize for anyone fleeing a crime, were never touched.</w:t>
      </w:r>
    </w:p>
    <w:p>
      <w:pPr>
        <w:pStyle w:val="BodyText"/>
      </w:pPr>
      <w:r>
        <w:t xml:space="preserve">The forensic scene added only silence where a robbery-murder should have left</w:t>
      </w:r>
      <w:r>
        <w:t xml:space="preserve"> </w:t>
      </w:r>
      <w:r>
        <w:t xml:space="preserve">noise. Neither Pan nor her father could positively identify the men. There were no</w:t>
      </w:r>
      <w:r>
        <w:t xml:space="preserve"> </w:t>
      </w:r>
      <w:r>
        <w:t xml:space="preserve">relevant fingerprints. No usable DNA. None of the bullets could be matched to a</w:t>
      </w:r>
      <w:r>
        <w:t xml:space="preserve"> </w:t>
      </w:r>
      <w:r>
        <w:t xml:space="preserve">gun. Standing alone, that absence proved nothing. But a home invasion that leaves</w:t>
      </w:r>
      <w:r>
        <w:t xml:space="preserve"> </w:t>
      </w:r>
      <w:r>
        <w:t xml:space="preserve">a witness alive, ignores the car keys, and takes nothing worth taking is not a</w:t>
      </w:r>
      <w:r>
        <w:t xml:space="preserve"> </w:t>
      </w:r>
      <w:r>
        <w:t xml:space="preserve">robbery. It is a performance, and performances have scripts, and in 2010 the</w:t>
      </w:r>
      <w:r>
        <w:t xml:space="preserve"> </w:t>
      </w:r>
      <w:r>
        <w:t xml:space="preserve">script was written on a phone.</w:t>
      </w:r>
    </w:p>
    <w:bookmarkEnd w:id="20"/>
    <w:bookmarkStart w:id="21" w:name="game-time"/>
    <w:p>
      <w:pPr>
        <w:pStyle w:val="Heading2"/>
      </w:pPr>
      <w:r>
        <w:t xml:space="preserve">Game time</w:t>
      </w:r>
    </w:p>
    <w:p>
      <w:pPr>
        <w:pStyle w:val="FirstParagraph"/>
      </w:pPr>
      <w:r>
        <w:t xml:space="preserve">The prosecution’s case was carried by a vast body of cellphone evidence and text</w:t>
      </w:r>
      <w:r>
        <w:t xml:space="preserve"> </w:t>
      </w:r>
      <w:r>
        <w:t xml:space="preserve">messages, and it read, in the end, like the log of a project plan.</w:t>
      </w:r>
    </w:p>
    <w:p>
      <w:pPr>
        <w:pStyle w:val="BodyText"/>
      </w:pPr>
      <w:r>
        <w:t xml:space="preserve">The theory the evidence supported was that Jennifer Pan had arranged for her own</w:t>
      </w:r>
      <w:r>
        <w:t xml:space="preserve"> </w:t>
      </w:r>
      <w:r>
        <w:t xml:space="preserve">parents to be killed, a murder-for-hire she routed through her former boyfriend,</w:t>
      </w:r>
      <w:r>
        <w:t xml:space="preserve"> </w:t>
      </w:r>
      <w:r>
        <w:t xml:space="preserve">Daniel Wong, and his friend Lenford Crawford, with the shooting itself carried out</w:t>
      </w:r>
      <w:r>
        <w:t xml:space="preserve"> </w:t>
      </w:r>
      <w:r>
        <w:t xml:space="preserve">by hired men including David Mylvaganam. Her motive, the Crown argued, was a life</w:t>
      </w:r>
      <w:r>
        <w:t xml:space="preserve"> </w:t>
      </w:r>
      <w:r>
        <w:t xml:space="preserve">her strict parents would not allow her to have: to escape a suffocating home, to</w:t>
      </w:r>
      <w:r>
        <w:t xml:space="preserve"> </w:t>
      </w:r>
      <w:r>
        <w:t xml:space="preserve">be with Wong, and to inherit her share of her parents’ estate and life insurance.</w:t>
      </w:r>
      <w:r>
        <w:t xml:space="preserve"> </w:t>
      </w:r>
      <w:r>
        <w:t xml:space="preserve">The price was $10,000 for the killing, plus $2,000 the night of.</w:t>
      </w:r>
    </w:p>
    <w:p>
      <w:pPr>
        <w:pStyle w:val="BodyText"/>
      </w:pPr>
      <w:r>
        <w:t xml:space="preserve">The digital trail tracked the conspiracy like a heartbeat monitor. This was not</w:t>
      </w:r>
      <w:r>
        <w:t xml:space="preserve"> </w:t>
      </w:r>
      <w:r>
        <w:t xml:space="preserve">even Pan’s first attempt; earlier in 2010 she had tried to arrange the murder</w:t>
      </w:r>
      <w:r>
        <w:t xml:space="preserve"> </w:t>
      </w:r>
      <w:r>
        <w:t xml:space="preserve">through another man who simply never followed through. When that failed, she</w:t>
      </w:r>
      <w:r>
        <w:t xml:space="preserve"> </w:t>
      </w:r>
      <w:r>
        <w:t xml:space="preserve">turned to Wong, who connected her to Crawford, and from August 2010 she was</w:t>
      </w:r>
      <w:r>
        <w:t xml:space="preserve"> </w:t>
      </w:r>
      <w:r>
        <w:t xml:space="preserve">texting Crawford from her iPhone using a SIM card Wong had supplied. Through late</w:t>
      </w:r>
      <w:r>
        <w:t xml:space="preserve"> </w:t>
      </w:r>
      <w:r>
        <w:t xml:space="preserve">October the plan firmed up, the contract price settled by an exchange of calls and</w:t>
      </w:r>
      <w:r>
        <w:t xml:space="preserve"> </w:t>
      </w:r>
      <w:r>
        <w:t xml:space="preserve">texts among the conspirators. And on the morning of November 8, Crawford sent Pan</w:t>
      </w:r>
      <w:r>
        <w:t xml:space="preserve"> </w:t>
      </w:r>
      <w:r>
        <w:t xml:space="preserve">a text that a screenwriter would blush to invent. After work, he wrote, it would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game time.</w:t>
      </w:r>
      <w:r>
        <w:t xml:space="preserve">”</w:t>
      </w:r>
    </w:p>
    <w:p>
      <w:pPr>
        <w:pStyle w:val="BodyText"/>
      </w:pPr>
      <w:r>
        <w:t xml:space="preserve">Game time came. Cellphone records showed the gunmen driving from Rexdale to the</w:t>
      </w:r>
      <w:r>
        <w:t xml:space="preserve"> </w:t>
      </w:r>
      <w:r>
        <w:t xml:space="preserve">Pan neighbourhood in Markham that evening. Shortly before the shootings, one of</w:t>
      </w:r>
      <w:r>
        <w:t xml:space="preserve"> </w:t>
      </w:r>
      <w:r>
        <w:t xml:space="preserve">their phones called Pan twice. After the shootings, cell-tower records tracked</w:t>
      </w:r>
      <w:r>
        <w:t xml:space="preserve"> </w:t>
      </w:r>
      <w:r>
        <w:t xml:space="preserve">that phone retreating back to Rexdale, while a chain of intermediaries relayed word</w:t>
      </w:r>
      <w:r>
        <w:t xml:space="preserve"> </w:t>
      </w:r>
      <w:r>
        <w:t xml:space="preserve">up the line that everything was okay. And a friend of Pan’s, Andrew Montemayor,</w:t>
      </w:r>
      <w:r>
        <w:t xml:space="preserve"> </w:t>
      </w:r>
      <w:r>
        <w:t xml:space="preserve">testified that just before the</w:t>
      </w:r>
      <w:r>
        <w:t xml:space="preserve"> </w:t>
      </w:r>
      <w:r>
        <w:t xml:space="preserve">“</w:t>
      </w:r>
      <w:r>
        <w:t xml:space="preserve">home invasion,</w:t>
      </w:r>
      <w:r>
        <w:t xml:space="preserve">”</w:t>
      </w:r>
      <w:r>
        <w:t xml:space="preserve"> </w:t>
      </w:r>
      <w:r>
        <w:t xml:space="preserve">Pan had told him her plan: to stage</w:t>
      </w:r>
      <w:r>
        <w:t xml:space="preserve"> </w:t>
      </w:r>
      <w:r>
        <w:t xml:space="preserve">exactly such an invasion, that night, in which her parents would be shot.</w:t>
      </w:r>
    </w:p>
    <w:p>
      <w:pPr>
        <w:pStyle w:val="BodyText"/>
      </w:pPr>
      <w:r>
        <w:t xml:space="preserve">The scene said robbery. The phones said contract. The phones were telling the</w:t>
      </w:r>
      <w:r>
        <w:t xml:space="preserve"> </w:t>
      </w:r>
      <w:r>
        <w:t xml:space="preserve">truth.</w:t>
      </w:r>
    </w:p>
    <w:bookmarkEnd w:id="21"/>
    <w:bookmarkStart w:id="22" w:name="an-unfinished-ending"/>
    <w:p>
      <w:pPr>
        <w:pStyle w:val="Heading2"/>
      </w:pPr>
      <w:r>
        <w:t xml:space="preserve">An unfinished ending</w:t>
      </w:r>
    </w:p>
    <w:p>
      <w:pPr>
        <w:pStyle w:val="FirstParagraph"/>
      </w:pPr>
      <w:r>
        <w:t xml:space="preserve">Jennifer Pan and her three co-accused were convicted of the first-degree murder of</w:t>
      </w:r>
      <w:r>
        <w:t xml:space="preserve"> </w:t>
      </w:r>
      <w:r>
        <w:t xml:space="preserve">her mother and the attempted murder of her father. But this is one of those cases,</w:t>
      </w:r>
      <w:r>
        <w:t xml:space="preserve"> </w:t>
      </w:r>
      <w:r>
        <w:t xml:space="preserve">and the book is honest about them, where the appellate courts were not finished.</w:t>
      </w:r>
    </w:p>
    <w:p>
      <w:pPr>
        <w:pStyle w:val="BodyText"/>
      </w:pPr>
      <w:r>
        <w:t xml:space="preserve">The Court of Appeal for Ontario, in 2023, set aside the first-degree murder</w:t>
      </w:r>
      <w:r>
        <w:t xml:space="preserve"> </w:t>
      </w:r>
      <w:r>
        <w:t xml:space="preserve">convictions and ordered a new trial on that count, not because it doubted the</w:t>
      </w:r>
      <w:r>
        <w:t xml:space="preserve"> </w:t>
      </w:r>
      <w:r>
        <w:t xml:space="preserve">evidence of the plot, but because of an error in how the jury had been instructed</w:t>
      </w:r>
      <w:r>
        <w:t xml:space="preserve"> </w:t>
      </w:r>
      <w:r>
        <w:t xml:space="preserve">about the lesser offences it could consider. It upheld the attempted-murder</w:t>
      </w:r>
      <w:r>
        <w:t xml:space="preserve"> </w:t>
      </w:r>
      <w:r>
        <w:t xml:space="preserve">convictions. The Crown appealed to the Supreme Court of Canada, seeking to restore</w:t>
      </w:r>
      <w:r>
        <w:t xml:space="preserve"> </w:t>
      </w:r>
      <w:r>
        <w:t xml:space="preserve">the murder convictions outright; the accused cross-appealed, seeking new trials on</w:t>
      </w:r>
      <w:r>
        <w:t xml:space="preserve"> </w:t>
      </w:r>
      <w:r>
        <w:t xml:space="preserve">everything. In April 2025, the Supreme Court largely held the line the Court of</w:t>
      </w:r>
      <w:r>
        <w:t xml:space="preserve"> </w:t>
      </w:r>
      <w:r>
        <w:t xml:space="preserve">Appeal had drawn: a new trial is required for all the accused on the first-degree</w:t>
      </w:r>
      <w:r>
        <w:t xml:space="preserve"> </w:t>
      </w:r>
      <w:r>
        <w:t xml:space="preserve">murder count, while the attempted-murder convictions stand. As of this writing,</w:t>
      </w:r>
      <w:r>
        <w:t xml:space="preserve"> </w:t>
      </w:r>
      <w:r>
        <w:t xml:space="preserve">then, the murder case built on that staged scene and those damning phones is</w:t>
      </w:r>
      <w:r>
        <w:t xml:space="preserve"> </w:t>
      </w:r>
      <w:r>
        <w:t xml:space="preserve">headed back to a courtroom to be proven again.</w:t>
      </w:r>
    </w:p>
    <w:bookmarkEnd w:id="22"/>
    <w:bookmarkStart w:id="25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by the difference between the story she staged and the story her</w:t>
      </w:r>
      <w:r>
        <w:t xml:space="preserve"> </w:t>
      </w:r>
      <w:r>
        <w:t xml:space="preserve">own life had recorded. Jennifer Pan built a home invasion for the police to find,</w:t>
      </w:r>
      <w:r>
        <w:t xml:space="preserve"> </w:t>
      </w:r>
      <w:r>
        <w:t xml:space="preserve">and she got the broad strokes right, the terror, the ransacked room, the daughter</w:t>
      </w:r>
      <w:r>
        <w:t xml:space="preserve"> </w:t>
      </w:r>
      <w:r>
        <w:t xml:space="preserve">bound and weeping. What she could not control were the details that a real robbery</w:t>
      </w:r>
      <w:r>
        <w:t xml:space="preserve"> </w:t>
      </w:r>
      <w:r>
        <w:t xml:space="preserve">would have left differently: the witness inexplicably spared, the car keys no</w:t>
      </w:r>
      <w:r>
        <w:t xml:space="preserve"> </w:t>
      </w:r>
      <w:r>
        <w:t xml:space="preserve">thief would ignore, the valuables no thief would leave. And what she could not</w:t>
      </w:r>
      <w:r>
        <w:t xml:space="preserve"> </w:t>
      </w:r>
      <w:r>
        <w:t xml:space="preserve">erase at all was the plan itself, which she had not kept in her head but had typed,</w:t>
      </w:r>
      <w:r>
        <w:t xml:space="preserve"> </w:t>
      </w:r>
      <w:r>
        <w:t xml:space="preserve">sent, and received, over months, across a web of phones that remembered every call</w:t>
      </w:r>
      <w:r>
        <w:t xml:space="preserve"> </w:t>
      </w:r>
      <w:r>
        <w:t xml:space="preserve">and every</w:t>
      </w:r>
      <w:r>
        <w:t xml:space="preserve"> </w:t>
      </w:r>
      <w:r>
        <w:t xml:space="preserve">“</w:t>
      </w:r>
      <w:r>
        <w:t xml:space="preserve">game time</w:t>
      </w:r>
      <w:r>
        <w:t xml:space="preserve">”</w:t>
      </w:r>
      <w:r>
        <w:t xml:space="preserve"> </w:t>
      </w:r>
      <w:r>
        <w:t xml:space="preserve">text long after her mother was dead. A staged scene can fool</w:t>
      </w:r>
      <w:r>
        <w:t xml:space="preserve"> </w:t>
      </w:r>
      <w:r>
        <w:t xml:space="preserve">the eye for a night. It cannot outlast the paper trail of the people who agreed,</w:t>
      </w:r>
      <w:r>
        <w:t xml:space="preserve"> </w:t>
      </w:r>
      <w:r>
        <w:t xml:space="preserve">in writing, to build it.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Pan</w:t>
      </w:r>
      <w:r>
        <w:t xml:space="preserve">, 2023 ONCA 362 (Court of Appeal for</w:t>
      </w:r>
      <w:r>
        <w:t xml:space="preserve"> </w:t>
      </w:r>
      <w:r>
        <w:t xml:space="preserve">Ontario);</w:t>
      </w:r>
      <w:r>
        <w:t xml:space="preserve"> </w:t>
      </w:r>
      <w:r>
        <w:rPr>
          <w:iCs/>
          <w:i/>
        </w:rPr>
        <w:t xml:space="preserve">R. v. Pan</w:t>
      </w:r>
      <w:r>
        <w:t xml:space="preserve">, 2025 SCC 12 (Supreme Court of Canada, decided April 10,</w:t>
      </w:r>
      <w:r>
        <w:t xml:space="preserve"> </w:t>
      </w:r>
      <w:r>
        <w:t xml:space="preserve">2025).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 (ONCA)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CanLII (SCC)</w:t>
        </w:r>
      </w:hyperlink>
      <w:r>
        <w:t xml:space="preserve">.</w:t>
      </w:r>
      <w:r>
        <w:t xml:space="preserve"> </w:t>
      </w:r>
      <w:r>
        <w:t xml:space="preserve">The staged scene, the cellphone and text evidence, and the murder-for-hire</w:t>
      </w:r>
      <w:r>
        <w:t xml:space="preserve"> </w:t>
      </w:r>
      <w:r>
        <w:t xml:space="preserve">theory are set out in the Court of Appeal’s reasons; the disposition (a new</w:t>
      </w:r>
      <w:r>
        <w:t xml:space="preserve"> </w:t>
      </w:r>
      <w:r>
        <w:t xml:space="preserve">trial on first-degree murder for all accused, the attempted-murder convictions</w:t>
      </w:r>
      <w:r>
        <w:t xml:space="preserve"> </w:t>
      </w:r>
      <w:r>
        <w:t xml:space="preserve">standing) is settled in the Supreme Court’s 2025 decision.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as of this</w:t>
      </w:r>
      <w:r>
        <w:t xml:space="preserve"> </w:t>
      </w:r>
      <w:r>
        <w:t xml:space="preserve">writing the first-degree murder charges are to be retried. The often-cited</w:t>
      </w:r>
      <w:r>
        <w:t xml:space="preserve"> </w:t>
      </w:r>
      <w:r>
        <w:t xml:space="preserve">“</w:t>
      </w:r>
      <w:r>
        <w:t xml:space="preserve">700,000 records</w:t>
      </w:r>
      <w:r>
        <w:t xml:space="preserve">”</w:t>
      </w:r>
      <w:r>
        <w:t xml:space="preserve"> </w:t>
      </w:r>
      <w:r>
        <w:t xml:space="preserve">figure comes from reporting; the decisions describe</w:t>
      </w:r>
      <w:r>
        <w:t xml:space="preserve"> </w:t>
      </w:r>
      <w:r>
        <w:t xml:space="preserve">“</w:t>
      </w:r>
      <w:r>
        <w:t xml:space="preserve">a large</w:t>
      </w:r>
      <w:r>
        <w:t xml:space="preserve"> </w:t>
      </w:r>
      <w:r>
        <w:t xml:space="preserve">volume</w:t>
      </w:r>
      <w:r>
        <w:t xml:space="preserve">”</w:t>
      </w:r>
      <w:r>
        <w:t xml:space="preserve"> </w:t>
      </w:r>
      <w:r>
        <w:t xml:space="preserve">of cellphone and text evidence.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canlii.org/en/ca/scc/doc/2025/2025scc12/2025scc12.html" TargetMode="External" /><Relationship Type="http://schemas.openxmlformats.org/officeDocument/2006/relationships/hyperlink" Id="rId23" Target="https://www.canlii.org/en/on/onca/doc/2023/2023onca362/2023onca36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canlii.org/en/ca/scc/doc/2025/2025scc12/2025scc12.html" TargetMode="External" /><Relationship Type="http://schemas.openxmlformats.org/officeDocument/2006/relationships/hyperlink" Id="rId23" Target="https://www.canlii.org/en/on/onca/doc/2023/2023onca362/2023onca36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2026-07-10T12:02:59Z</dcterms:created>
  <dcterms:modified xsi:type="dcterms:W3CDTF">2026-07-10T12:02:59Z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