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19---the-letter-from-the-grave"/>
    <w:p>
      <w:pPr>
        <w:pStyle w:val="Heading1"/>
      </w:pPr>
      <w:r>
        <w:t xml:space="preserve">Chapter 19 - The Letter From the Grave</w:t>
      </w:r>
    </w:p>
    <w:p>
      <w:pPr>
        <w:pStyle w:val="FirstParagraph"/>
      </w:pPr>
      <w:r>
        <w:rPr>
          <w:bCs/>
          <w:b/>
        </w:rPr>
        <w:t xml:space="preserve">Two weeks before she died, Julie Jensen told a police officer: if anything</w:t>
      </w:r>
      <w:r>
        <w:rPr>
          <w:bCs/>
          <w:b/>
        </w:rPr>
        <w:t xml:space="preserve"> </w:t>
      </w:r>
      <w:r>
        <w:rPr>
          <w:bCs/>
          <w:b/>
        </w:rPr>
        <w:t xml:space="preserve">happens to me, my husband should be your first suspect. Then she made sure to put</w:t>
      </w:r>
      <w:r>
        <w:rPr>
          <w:bCs/>
          <w:b/>
        </w:rPr>
        <w:t xml:space="preserve"> </w:t>
      </w:r>
      <w:r>
        <w:rPr>
          <w:bCs/>
          <w:b/>
        </w:rPr>
        <w:t xml:space="preserve">it in writing.</w:t>
      </w:r>
    </w:p>
    <w:p>
      <w:pPr>
        <w:pStyle w:val="BodyText"/>
      </w:pPr>
      <w:r>
        <w:t xml:space="preserve">Most murder victims never get to testify. Julie Jensen did everything humanly</w:t>
      </w:r>
      <w:r>
        <w:t xml:space="preserve"> </w:t>
      </w:r>
      <w:r>
        <w:t xml:space="preserve">possible to be the exception.</w:t>
      </w:r>
    </w:p>
    <w:p>
      <w:pPr>
        <w:pStyle w:val="BodyText"/>
      </w:pPr>
      <w:r>
        <w:t xml:space="preserve">In the autumn of 1998, in Pleasant Prairie, Wisconsin, Julie was living with a</w:t>
      </w:r>
      <w:r>
        <w:t xml:space="preserve"> </w:t>
      </w:r>
      <w:r>
        <w:t xml:space="preserve">fear she could feel but could not prove, the particular dread of a woman who</w:t>
      </w:r>
      <w:r>
        <w:t xml:space="preserve"> </w:t>
      </w:r>
      <w:r>
        <w:t xml:space="preserve">senses what is coming and knows no one will believe her until it is too late to</w:t>
      </w:r>
      <w:r>
        <w:t xml:space="preserve"> </w:t>
      </w:r>
      <w:r>
        <w:t xml:space="preserve">matter. So she did two remarkably deliberate things. She wrote a letter, sealed</w:t>
      </w:r>
      <w:r>
        <w:t xml:space="preserve"> </w:t>
      </w:r>
      <w:r>
        <w:t xml:space="preserve">it, and handed it to a neighbor with instructions to give it to the police if</w:t>
      </w:r>
      <w:r>
        <w:t xml:space="preserve"> </w:t>
      </w:r>
      <w:r>
        <w:t xml:space="preserve">anything happened to her. And she left two voicemails for Pleasant Prairie Police</w:t>
      </w:r>
      <w:r>
        <w:t xml:space="preserve"> </w:t>
      </w:r>
      <w:r>
        <w:t xml:space="preserve">Officer Ron Kosman, telling him plainly that if she turned up dead, her husband</w:t>
      </w:r>
      <w:r>
        <w:t xml:space="preserve"> </w:t>
      </w:r>
      <w:r>
        <w:t xml:space="preserve">Mark should be his</w:t>
      </w:r>
      <w:r>
        <w:t xml:space="preserve"> </w:t>
      </w:r>
      <w:r>
        <w:t xml:space="preserve">“</w:t>
      </w:r>
      <w:r>
        <w:t xml:space="preserve">first suspect.</w:t>
      </w:r>
      <w:r>
        <w:t xml:space="preserve">”</w:t>
      </w:r>
    </w:p>
    <w:p>
      <w:pPr>
        <w:pStyle w:val="BodyText"/>
      </w:pPr>
      <w:r>
        <w:t xml:space="preserve">Then, on December 3, 1998, Julie Jensen died of poisoning.</w:t>
      </w:r>
    </w:p>
    <w:p>
      <w:pPr>
        <w:pStyle w:val="BodyText"/>
      </w:pPr>
      <w:r>
        <w:t xml:space="preserve">She had been right about all of it except the timing. She could not have guessed</w:t>
      </w:r>
      <w:r>
        <w:t xml:space="preserve"> </w:t>
      </w:r>
      <w:r>
        <w:t xml:space="preserve">that the letter she left behind, meant to catch her killer, would instead become</w:t>
      </w:r>
      <w:r>
        <w:t xml:space="preserve"> </w:t>
      </w:r>
      <w:r>
        <w:t xml:space="preserve">the fuse on one of the longest-running legal fights in American criminal history,</w:t>
      </w:r>
      <w:r>
        <w:t xml:space="preserve"> </w:t>
      </w:r>
      <w:r>
        <w:t xml:space="preserve">a quarter-century argument over a question that sounds like it should have a</w:t>
      </w:r>
      <w:r>
        <w:t xml:space="preserve"> </w:t>
      </w:r>
      <w:r>
        <w:t xml:space="preserve">one-word answer and does not: can a murdered woman accuse her killer from the</w:t>
      </w:r>
      <w:r>
        <w:t xml:space="preserve"> </w:t>
      </w:r>
      <w:r>
        <w:t xml:space="preserve">grave?</w:t>
      </w:r>
    </w:p>
    <w:bookmarkStart w:id="20" w:name="the-charge-and-the-earthquake"/>
    <w:p>
      <w:pPr>
        <w:pStyle w:val="Heading2"/>
      </w:pPr>
      <w:r>
        <w:t xml:space="preserve">The charge, and the earthquake</w:t>
      </w:r>
    </w:p>
    <w:p>
      <w:pPr>
        <w:pStyle w:val="FirstParagraph"/>
      </w:pPr>
      <w:r>
        <w:t xml:space="preserve">Mark Jensen was charged with first-degree intentional homicide in 2002, four</w:t>
      </w:r>
      <w:r>
        <w:t xml:space="preserve"> </w:t>
      </w:r>
      <w:r>
        <w:t xml:space="preserve">years after Julie died. The State’s theory was that Mark, tangled up in an affair,</w:t>
      </w:r>
      <w:r>
        <w:t xml:space="preserve"> </w:t>
      </w:r>
      <w:r>
        <w:t xml:space="preserve">had poisoned his wife and staged the death to look like suicide, and that Julie,</w:t>
      </w:r>
      <w:r>
        <w:t xml:space="preserve"> </w:t>
      </w:r>
      <w:r>
        <w:t xml:space="preserve">seeing it coming, had left her letter precisely to defeat that story. Her letter</w:t>
      </w:r>
      <w:r>
        <w:t xml:space="preserve"> </w:t>
      </w:r>
      <w:r>
        <w:t xml:space="preserve">and voicemails were her rebuttal to a suicide verdict, delivered in her own voice</w:t>
      </w:r>
      <w:r>
        <w:t xml:space="preserve"> </w:t>
      </w:r>
      <w:r>
        <w:t xml:space="preserve">from beyond her own funeral.</w:t>
      </w:r>
    </w:p>
    <w:p>
      <w:pPr>
        <w:pStyle w:val="BodyText"/>
      </w:pPr>
      <w:r>
        <w:t xml:space="preserve">The trial court first ruled the letter admissible. And then, in 2004, before the</w:t>
      </w:r>
      <w:r>
        <w:t xml:space="preserve"> </w:t>
      </w:r>
      <w:r>
        <w:t xml:space="preserve">case could get anywhere, the United States Supreme Court dropped an earthquake</w:t>
      </w:r>
      <w:r>
        <w:t xml:space="preserve"> </w:t>
      </w:r>
      <w:r>
        <w:t xml:space="preserve">called</w:t>
      </w:r>
      <w:r>
        <w:t xml:space="preserve"> </w:t>
      </w:r>
      <w:r>
        <w:rPr>
          <w:iCs/>
          <w:i/>
        </w:rPr>
        <w:t xml:space="preserve">Crawford v. Washington</w:t>
      </w:r>
      <w:r>
        <w:t xml:space="preserve"> </w:t>
      </w:r>
      <w:r>
        <w:t xml:space="preserve">right underneath it.</w:t>
      </w:r>
      <w:r>
        <w:t xml:space="preserve"> </w:t>
      </w:r>
      <w:r>
        <w:rPr>
          <w:iCs/>
          <w:i/>
        </w:rPr>
        <w:t xml:space="preserve">Crawford</w:t>
      </w:r>
      <w:r>
        <w:t xml:space="preserve"> </w:t>
      </w:r>
      <w:r>
        <w:t xml:space="preserve">rewrote the</w:t>
      </w:r>
      <w:r>
        <w:t xml:space="preserve"> </w:t>
      </w:r>
      <w:r>
        <w:t xml:space="preserve">Confrontation Clause and laid down a rule with no give in it: a</w:t>
      </w:r>
      <w:r>
        <w:t xml:space="preserve"> </w:t>
      </w:r>
      <w:r>
        <w:t xml:space="preserve">“</w:t>
      </w:r>
      <w:r>
        <w:t xml:space="preserve">testimonial</w:t>
      </w:r>
      <w:r>
        <w:t xml:space="preserve">”</w:t>
      </w:r>
      <w:r>
        <w:t xml:space="preserve"> </w:t>
      </w:r>
      <w:r>
        <w:t xml:space="preserve">statement from an absent witness cannot be used against a defendant who never had</w:t>
      </w:r>
      <w:r>
        <w:t xml:space="preserve"> </w:t>
      </w:r>
      <w:r>
        <w:t xml:space="preserve">a chance to cross-examine her. And Julie, being the witness and being dead, was</w:t>
      </w:r>
      <w:r>
        <w:t xml:space="preserve"> </w:t>
      </w:r>
      <w:r>
        <w:t xml:space="preserve">about as un-cross-examinable as a witness gets.</w:t>
      </w:r>
    </w:p>
    <w:p>
      <w:pPr>
        <w:pStyle w:val="BodyText"/>
      </w:pPr>
      <w:r>
        <w:t xml:space="preserve">What followed is best understood not as a trial but as a rally, a decades-long</w:t>
      </w:r>
      <w:r>
        <w:t xml:space="preserve"> </w:t>
      </w:r>
      <w:r>
        <w:t xml:space="preserve">volley in which Julie’s letter was knocked back and forth across every net in the</w:t>
      </w:r>
      <w:r>
        <w:t xml:space="preserve"> </w:t>
      </w:r>
      <w:r>
        <w:t xml:space="preserve">American court system while Mark Jensen sat and watched.</w:t>
      </w:r>
    </w:p>
    <w:p>
      <w:pPr>
        <w:pStyle w:val="BodyText"/>
      </w:pPr>
      <w:r>
        <w:t xml:space="preserve">The Wisconsin Supreme Court ruled in 2007 that the letter and voicemails were</w:t>
      </w:r>
      <w:r>
        <w:t xml:space="preserve"> </w:t>
      </w:r>
      <w:r>
        <w:t xml:space="preserve">testimonial, their whole purpose being to finger her killer, and therefore</w:t>
      </w:r>
      <w:r>
        <w:t xml:space="preserve"> </w:t>
      </w:r>
      <w:r>
        <w:t xml:space="preserve">inadmissible,</w:t>
      </w:r>
      <w:r>
        <w:t xml:space="preserve"> </w:t>
      </w:r>
      <w:r>
        <w:rPr>
          <w:iCs/>
          <w:i/>
        </w:rPr>
        <w:t xml:space="preserve">unless</w:t>
      </w:r>
      <w:r>
        <w:t xml:space="preserve"> </w:t>
      </w:r>
      <w:r>
        <w:t xml:space="preserve">Mark had forfeited his right to object by murdering the</w:t>
      </w:r>
      <w:r>
        <w:t xml:space="preserve"> </w:t>
      </w:r>
      <w:r>
        <w:t xml:space="preserve">very witness he now wanted silenced, an old doctrine with the grimly satisfying</w:t>
      </w:r>
      <w:r>
        <w:t xml:space="preserve"> </w:t>
      </w:r>
      <w:r>
        <w:t xml:space="preserve">name</w:t>
      </w:r>
      <w:r>
        <w:t xml:space="preserve"> </w:t>
      </w:r>
      <w:r>
        <w:t xml:space="preserve">“</w:t>
      </w:r>
      <w:r>
        <w:t xml:space="preserve">forfeiture-by-wrongdoing.</w:t>
      </w:r>
      <w:r>
        <w:t xml:space="preserve">”</w:t>
      </w:r>
      <w:r>
        <w:t xml:space="preserve"> </w:t>
      </w:r>
      <w:r>
        <w:t xml:space="preserve">On remand, the trial court found he had. In came</w:t>
      </w:r>
      <w:r>
        <w:t xml:space="preserve"> </w:t>
      </w:r>
      <w:r>
        <w:t xml:space="preserve">the letter, and in 2008 a jury convicted him.</w:t>
      </w:r>
    </w:p>
    <w:p>
      <w:pPr>
        <w:pStyle w:val="BodyText"/>
      </w:pPr>
      <w:r>
        <w:t xml:space="preserve">Then the ball came back over the net. The U.S. Supreme Court’s</w:t>
      </w:r>
      <w:r>
        <w:t xml:space="preserve"> </w:t>
      </w:r>
      <w:r>
        <w:rPr>
          <w:iCs/>
          <w:i/>
        </w:rPr>
        <w:t xml:space="preserve">Giles v.</w:t>
      </w:r>
      <w:r>
        <w:rPr>
          <w:iCs/>
          <w:i/>
        </w:rPr>
        <w:t xml:space="preserve"> </w:t>
      </w:r>
      <w:r>
        <w:rPr>
          <w:iCs/>
          <w:i/>
        </w:rPr>
        <w:t xml:space="preserve">California</w:t>
      </w:r>
      <w:r>
        <w:t xml:space="preserve"> </w:t>
      </w:r>
      <w:r>
        <w:t xml:space="preserve">narrowed forfeiture to cases where the defendant killed the witness</w:t>
      </w:r>
      <w:r>
        <w:t xml:space="preserve"> </w:t>
      </w:r>
      <w:r>
        <w:rPr>
          <w:iCs/>
          <w:i/>
        </w:rPr>
        <w:t xml:space="preserve">specifically to keep her from testifying</w:t>
      </w:r>
      <w:r>
        <w:t xml:space="preserve">, which no one had claimed of Mark. So</w:t>
      </w:r>
      <w:r>
        <w:t xml:space="preserve"> </w:t>
      </w:r>
      <w:r>
        <w:t xml:space="preserve">in 2011 the Wisconsin Court of Appeals agreed the letter never should have come</w:t>
      </w:r>
      <w:r>
        <w:t xml:space="preserve"> </w:t>
      </w:r>
      <w:r>
        <w:t xml:space="preserve">in, then shrugged and called the mistake</w:t>
      </w:r>
      <w:r>
        <w:t xml:space="preserve"> </w:t>
      </w:r>
      <w:r>
        <w:t xml:space="preserve">“</w:t>
      </w:r>
      <w:r>
        <w:t xml:space="preserve">harmless</w:t>
      </w:r>
      <w:r>
        <w:t xml:space="preserve">”</w:t>
      </w:r>
      <w:r>
        <w:t xml:space="preserve"> </w:t>
      </w:r>
      <w:r>
        <w:t xml:space="preserve">given the mountain of other</w:t>
      </w:r>
      <w:r>
        <w:t xml:space="preserve"> </w:t>
      </w:r>
      <w:r>
        <w:t xml:space="preserve">evidence, and let the conviction stand anyway.</w:t>
      </w:r>
    </w:p>
    <w:p>
      <w:pPr>
        <w:pStyle w:val="BodyText"/>
      </w:pPr>
      <w:r>
        <w:t xml:space="preserve">The federal courts did not care for the shrug. On habeas review they held that</w:t>
      </w:r>
      <w:r>
        <w:t xml:space="preserve"> </w:t>
      </w:r>
      <w:r>
        <w:t xml:space="preserve">Julie’s accusation from the grave was no minor exhibit, it was the beating heart</w:t>
      </w:r>
      <w:r>
        <w:t xml:space="preserve"> </w:t>
      </w:r>
      <w:r>
        <w:t xml:space="preserve">of the State’s case, and they threw the conviction out. What the trial court did</w:t>
      </w:r>
      <w:r>
        <w:t xml:space="preserve"> </w:t>
      </w:r>
      <w:r>
        <w:t xml:space="preserve">next is the kind of move that makes appellate judges reach for the aspirin: it</w:t>
      </w:r>
      <w:r>
        <w:t xml:space="preserve"> </w:t>
      </w:r>
      <w:r>
        <w:t xml:space="preserve">responded to the federal order by simply reinstating the conviction</w:t>
      </w:r>
      <w:r>
        <w:t xml:space="preserve"> </w:t>
      </w:r>
      <w:r>
        <w:rPr>
          <w:iCs/>
          <w:i/>
        </w:rPr>
        <w:t xml:space="preserve">without a new</w:t>
      </w:r>
      <w:r>
        <w:rPr>
          <w:iCs/>
          <w:i/>
        </w:rPr>
        <w:t xml:space="preserve"> </w:t>
      </w:r>
      <w:r>
        <w:rPr>
          <w:iCs/>
          <w:i/>
        </w:rPr>
        <w:t xml:space="preserve">trial</w:t>
      </w:r>
      <w:r>
        <w:t xml:space="preserve">, on the theory that the law had drifted far enough that the letter would be</w:t>
      </w:r>
      <w:r>
        <w:t xml:space="preserve"> </w:t>
      </w:r>
      <w:r>
        <w:t xml:space="preserve">fine now. The court of appeals reversed that, too. And at last, in March 2021,</w:t>
      </w:r>
      <w:r>
        <w:t xml:space="preserve"> </w:t>
      </w:r>
      <w:r>
        <w:t xml:space="preserve">twenty-three years after Julie died, the Wisconsin Supreme Court delivered the</w:t>
      </w:r>
      <w:r>
        <w:t xml:space="preserve"> </w:t>
      </w:r>
      <w:r>
        <w:t xml:space="preserve">ruling this chapter is anchored to: the law had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changed, the letter stayed</w:t>
      </w:r>
      <w:r>
        <w:t xml:space="preserve"> </w:t>
      </w:r>
      <w:r>
        <w:t xml:space="preserve">out, and Mark Jensen was owed the thing the Constitution had been promising him</w:t>
      </w:r>
      <w:r>
        <w:t xml:space="preserve"> </w:t>
      </w:r>
      <w:r>
        <w:t xml:space="preserve">the entire time. A new trial, with Julie’s own words locked in the drawer.</w:t>
      </w:r>
    </w:p>
    <w:p>
      <w:pPr>
        <w:pStyle w:val="BodyText"/>
      </w:pPr>
      <w:r>
        <w:t xml:space="preserve">A justice writing separately refused to let the doctrine flatten the human being</w:t>
      </w:r>
      <w:r>
        <w:t xml:space="preserve"> </w:t>
      </w:r>
      <w:r>
        <w:t xml:space="preserve">underneath it, noting that Julie was, plainly, a woman living</w:t>
      </w:r>
      <w:r>
        <w:t xml:space="preserve"> </w:t>
      </w:r>
      <w:r>
        <w:t xml:space="preserve">“</w:t>
      </w:r>
      <w:r>
        <w:t xml:space="preserve">in terror born of</w:t>
      </w:r>
      <w:r>
        <w:t xml:space="preserve"> </w:t>
      </w:r>
      <w:r>
        <w:t xml:space="preserve">the unimaginable fear that her husband was going to kill her and claim that her</w:t>
      </w:r>
      <w:r>
        <w:t xml:space="preserve"> </w:t>
      </w:r>
      <w:r>
        <w:t xml:space="preserve">death was a suicide.</w:t>
      </w:r>
      <w:r>
        <w:t xml:space="preserve">”</w:t>
      </w:r>
      <w:r>
        <w:t xml:space="preserve"> </w:t>
      </w:r>
      <w:r>
        <w:t xml:space="preserve">Which is, of course, exactly why the letter existed in the</w:t>
      </w:r>
      <w:r>
        <w:t xml:space="preserve"> </w:t>
      </w:r>
      <w:r>
        <w:t xml:space="preserve">first place.</w:t>
      </w:r>
    </w:p>
    <w:bookmarkEnd w:id="20"/>
    <w:bookmarkStart w:id="21" w:name="the-epilogue-the-opinion-cant-give-you"/>
    <w:p>
      <w:pPr>
        <w:pStyle w:val="Heading2"/>
      </w:pPr>
      <w:r>
        <w:t xml:space="preserve">The epilogue the opinion can’t give you</w:t>
      </w:r>
    </w:p>
    <w:p>
      <w:pPr>
        <w:pStyle w:val="FirstParagraph"/>
      </w:pPr>
      <w:r>
        <w:t xml:space="preserve">Because the 2021 decision ends with an order for a new trial, the opinion itself</w:t>
      </w:r>
      <w:r>
        <w:t xml:space="preserve"> </w:t>
      </w:r>
      <w:r>
        <w:t xml:space="preserve">cannot tell you how the story finally landed. The news can. In early 2023,</w:t>
      </w:r>
      <w:r>
        <w:t xml:space="preserve"> </w:t>
      </w:r>
      <w:r>
        <w:t xml:space="preserve">Kenosha County prosecutors tried Mark Jensen a second time, now without Julie’s</w:t>
      </w:r>
      <w:r>
        <w:t xml:space="preserve"> </w:t>
      </w:r>
      <w:r>
        <w:t xml:space="preserve">letter, and a second jury convicted him of first-degree intentional homicide all</w:t>
      </w:r>
      <w:r>
        <w:t xml:space="preserve"> </w:t>
      </w:r>
      <w:r>
        <w:t xml:space="preserve">over again. The</w:t>
      </w:r>
      <w:r>
        <w:t xml:space="preserve"> </w:t>
      </w:r>
      <w:r>
        <w:t xml:space="preserve">“</w:t>
      </w:r>
      <w:r>
        <w:t xml:space="preserve">voluminous other evidence</w:t>
      </w:r>
      <w:r>
        <w:t xml:space="preserve">”</w:t>
      </w:r>
      <w:r>
        <w:t xml:space="preserve"> </w:t>
      </w:r>
      <w:r>
        <w:t xml:space="preserve">turned out to be exactly as voluminous</w:t>
      </w:r>
      <w:r>
        <w:t xml:space="preserve"> </w:t>
      </w:r>
      <w:r>
        <w:t xml:space="preserve">as advertised.</w:t>
      </w:r>
      <w:r>
        <w:t xml:space="preserve"> </w:t>
      </w:r>
      <w:r>
        <w:rPr>
          <w:iCs/>
          <w:i/>
        </w:rPr>
        <w:t xml:space="preserve">(That ending comes from news coverage, not the anchor decision, so</w:t>
      </w:r>
      <w:r>
        <w:rPr>
          <w:iCs/>
          <w:i/>
        </w:rPr>
        <w:t xml:space="preserve"> </w:t>
      </w:r>
      <w:r>
        <w:rPr>
          <w:iCs/>
          <w:i/>
        </w:rPr>
        <w:t xml:space="preserve">confirm the current status before print.)</w:t>
      </w:r>
    </w:p>
    <w:bookmarkEnd w:id="21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Julie caught him, twice, across a gap of twenty-five years. Long before the poison</w:t>
      </w:r>
      <w:r>
        <w:t xml:space="preserve"> </w:t>
      </w:r>
      <w:r>
        <w:t xml:space="preserve">reached her she had done what almost no victim ever manages: she gathered the</w:t>
      </w:r>
      <w:r>
        <w:t xml:space="preserve"> </w:t>
      </w:r>
      <w:r>
        <w:t xml:space="preserve">evidence against her own murderer in advance, a signed accusation with a neighbor</w:t>
      </w:r>
      <w:r>
        <w:t xml:space="preserve"> </w:t>
      </w:r>
      <w:r>
        <w:t xml:space="preserve">and her voice on a police officer’s answering machine. The cruel irony, the one</w:t>
      </w:r>
      <w:r>
        <w:t xml:space="preserve"> </w:t>
      </w:r>
      <w:r>
        <w:t xml:space="preserve">that ate up two and a half decades of appeals, is that her foresight was almost</w:t>
      </w:r>
      <w:r>
        <w:t xml:space="preserve"> </w:t>
      </w:r>
      <w:r>
        <w:t xml:space="preserve">too good. A statement created expressly for the police to use after her death is</w:t>
      </w:r>
      <w:r>
        <w:t xml:space="preserve"> </w:t>
      </w:r>
      <w:r>
        <w:t xml:space="preserve">the purest</w:t>
      </w:r>
      <w:r>
        <w:t xml:space="preserve"> </w:t>
      </w:r>
      <w:r>
        <w:t xml:space="preserve">“</w:t>
      </w:r>
      <w:r>
        <w:t xml:space="preserve">testimonial</w:t>
      </w:r>
      <w:r>
        <w:t xml:space="preserve">”</w:t>
      </w:r>
      <w:r>
        <w:t xml:space="preserve"> </w:t>
      </w:r>
      <w:r>
        <w:t xml:space="preserve">evidence there is, the exact thing the Confrontation</w:t>
      </w:r>
      <w:r>
        <w:t xml:space="preserve"> </w:t>
      </w:r>
      <w:r>
        <w:t xml:space="preserve">Clause was built to keep out, and so the law spent a generation refusing to let</w:t>
      </w:r>
      <w:r>
        <w:t xml:space="preserve"> </w:t>
      </w:r>
      <w:r>
        <w:t xml:space="preserve">the jury hear it. In the end both things came true at once. Julie’s letter could</w:t>
      </w:r>
      <w:r>
        <w:t xml:space="preserve"> </w:t>
      </w:r>
      <w:r>
        <w:t xml:space="preserve">not lawfully convict her husband. Her husband was convicted anyway. Because a woman</w:t>
      </w:r>
      <w:r>
        <w:t xml:space="preserve"> </w:t>
      </w:r>
      <w:r>
        <w:t xml:space="preserve">careful enough to document her own murder does not leave behind a single letter.</w:t>
      </w:r>
      <w:r>
        <w:t xml:space="preserve"> </w:t>
      </w:r>
      <w:r>
        <w:t xml:space="preserve">She leaves behind a trail, and a trail is harder to seal in a drawer.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Jensen</w:t>
      </w:r>
      <w:r>
        <w:t xml:space="preserve">, 2021 WI 27, 396 Wis. 2d</w:t>
      </w:r>
      <w:r>
        <w:t xml:space="preserve"> </w:t>
      </w:r>
      <w:r>
        <w:t xml:space="preserve">196, 957 N.W.2d 244, Wisconsin Supreme Court, decided March 18, 2021.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Justia</w:t>
        </w:r>
      </w:hyperlink>
      <w:r>
        <w:t xml:space="preserve"> </w:t>
      </w:r>
      <w:r>
        <w:t xml:space="preserve">· official PDF via</w:t>
      </w:r>
      <w:r>
        <w:t xml:space="preserve"> </w:t>
      </w:r>
      <w:hyperlink r:id="rId23">
        <w:r>
          <w:rPr>
            <w:rStyle w:val="Hyperlink"/>
          </w:rPr>
          <w:t xml:space="preserve">wicourts.gov</w:t>
        </w:r>
      </w:hyperlink>
      <w:r>
        <w:t xml:space="preserve">.</w:t>
      </w:r>
      <w:r>
        <w:t xml:space="preserve"> </w:t>
      </w:r>
      <w:r>
        <w:t xml:space="preserve">The full procedural saga,</w:t>
      </w:r>
      <w:r>
        <w:t xml:space="preserve"> </w:t>
      </w:r>
      <w:r>
        <w:rPr>
          <w:iCs/>
          <w:i/>
        </w:rPr>
        <w:t xml:space="preserve">Crawford</w:t>
      </w:r>
      <w:r>
        <w:t xml:space="preserve"> </w:t>
      </w:r>
      <w:r>
        <w:t xml:space="preserve">through the habeas litigation, is</w:t>
      </w:r>
      <w:r>
        <w:t xml:space="preserve"> </w:t>
      </w:r>
      <w:r>
        <w:t xml:space="preserve">set out in Part I; Justice Karofsky’s concurrence addresses the</w:t>
      </w:r>
      <w:r>
        <w:t xml:space="preserve"> </w:t>
      </w:r>
      <w:r>
        <w:t xml:space="preserve">domestic-violence context.</w:t>
      </w:r>
      <w:r>
        <w:t xml:space="preserve"> </w:t>
      </w:r>
      <w:r>
        <w:rPr>
          <w:bCs/>
          <w:b/>
        </w:rPr>
        <w:t xml:space="preserve">Companion authority (for the underlying trial evidence, incl. the family</w:t>
      </w:r>
      <w:r>
        <w:rPr>
          <w:bCs/>
          <w:b/>
        </w:rPr>
        <w:t xml:space="preserve"> </w:t>
      </w:r>
      <w:r>
        <w:rPr>
          <w:bCs/>
          <w:b/>
        </w:rPr>
        <w:t xml:space="preserve">computer forensics):</w:t>
      </w:r>
      <w:r>
        <w:t xml:space="preserve"> </w:t>
      </w:r>
      <w:r>
        <w:rPr>
          <w:iCs/>
          <w:i/>
        </w:rPr>
        <w:t xml:space="preserve">State v. Jensen</w:t>
      </w:r>
      <w:r>
        <w:t xml:space="preserve">, 2011 WI App 3, 331 Wis. 2d 440 -</w:t>
      </w:r>
      <w:r>
        <w:t xml:space="preserve"> </w:t>
      </w:r>
      <w:r>
        <w:t xml:space="preserve">on the pull list.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law.justia.com/cases/wisconsin/supreme-court/2021/2018ap001952-cr.html" TargetMode="External" /><Relationship Type="http://schemas.openxmlformats.org/officeDocument/2006/relationships/hyperlink" Id="rId23" Target="https://www.wicourts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law.justia.com/cases/wisconsin/supreme-court/2021/2018ap001952-cr.html" TargetMode="External" /><Relationship Type="http://schemas.openxmlformats.org/officeDocument/2006/relationships/hyperlink" Id="rId23" Target="https://www.wicourts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2026-07-02T13:51:09Z</dcterms:created>
  <dcterms:modified xsi:type="dcterms:W3CDTF">2026-07-02T13:51:09Z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