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286e49a5d2835d1750bbfc5643f89e51b5db7b"/>
    <w:p>
      <w:pPr>
        <w:pStyle w:val="Heading1"/>
      </w:pPr>
      <w:r>
        <w:t xml:space="preserve">Chapter 24 - The Residue Doesn’t Lie, But It Doesn’t Explain</w:t>
      </w:r>
    </w:p>
    <w:p>
      <w:pPr>
        <w:pStyle w:val="FirstParagraph"/>
      </w:pPr>
      <w:r>
        <w:rPr>
          <w:bCs/>
          <w:b/>
        </w:rPr>
        <w:t xml:space="preserve">A speck of lead, antimony, and barium, fused by the heat of a gunshot, cannot</w:t>
      </w:r>
      <w:r>
        <w:rPr>
          <w:bCs/>
          <w:b/>
        </w:rPr>
        <w:t xml:space="preserve"> </w:t>
      </w:r>
      <w:r>
        <w:rPr>
          <w:bCs/>
          <w:b/>
        </w:rPr>
        <w:t xml:space="preserve">tell you whose finger was on the trigger. It can only tell you that you were</w:t>
      </w:r>
      <w:r>
        <w:rPr>
          <w:bCs/>
          <w:b/>
        </w:rPr>
        <w:t xml:space="preserve"> </w:t>
      </w:r>
      <w:r>
        <w:rPr>
          <w:bCs/>
          <w:b/>
        </w:rPr>
        <w:t xml:space="preserve">standing much too close to one.</w:t>
      </w:r>
    </w:p>
    <w:p>
      <w:pPr>
        <w:pStyle w:val="BodyText"/>
      </w:pPr>
      <w:r>
        <w:t xml:space="preserve">Not every chapter in this book is a story about a criminal outsmarting himself.</w:t>
      </w:r>
      <w:r>
        <w:t xml:space="preserve"> </w:t>
      </w:r>
      <w:r>
        <w:t xml:space="preserve">This one is about the humbler, harder kind of case, the sort investigators</w:t>
      </w:r>
      <w:r>
        <w:t xml:space="preserve"> </w:t>
      </w:r>
      <w:r>
        <w:t xml:space="preserve">actually face most of the time, where no single clue shouts the answer and the</w:t>
      </w:r>
      <w:r>
        <w:t xml:space="preserve"> </w:t>
      </w:r>
      <w:r>
        <w:t xml:space="preserve">truth has to be built brick by circumstantial brick. Andrew Stevenson’s case</w:t>
      </w:r>
      <w:r>
        <w:t xml:space="preserve"> </w:t>
      </w:r>
      <w:r>
        <w:t xml:space="preserve">turns on a piece of evidence that is famous for pointing straight at the guilty</w:t>
      </w:r>
      <w:r>
        <w:t xml:space="preserve"> </w:t>
      </w:r>
      <w:r>
        <w:t xml:space="preserve">and infamous for occasionally pointing at the innocent, and the honest tension</w:t>
      </w:r>
      <w:r>
        <w:t xml:space="preserve"> </w:t>
      </w:r>
      <w:r>
        <w:t xml:space="preserve">between those two things is the whole story.</w:t>
      </w:r>
    </w:p>
    <w:p>
      <w:pPr>
        <w:pStyle w:val="BodyText"/>
      </w:pPr>
      <w:r>
        <w:t xml:space="preserve">At about 7:20 on the evening of December 23, 2006, Stefanie Stevenson walked the</w:t>
      </w:r>
      <w:r>
        <w:t xml:space="preserve"> </w:t>
      </w:r>
      <w:r>
        <w:t xml:space="preserve">short distance from her house to her van. She was leaving for a shift at the local</w:t>
      </w:r>
      <w:r>
        <w:t xml:space="preserve"> </w:t>
      </w:r>
      <w:r>
        <w:t xml:space="preserve">hospital. Someone who had been waiting beside her home stepped out of the dark and</w:t>
      </w:r>
      <w:r>
        <w:t xml:space="preserve"> </w:t>
      </w:r>
      <w:r>
        <w:t xml:space="preserve">shot her once in the head.</w:t>
      </w:r>
    </w:p>
    <w:p>
      <w:pPr>
        <w:pStyle w:val="BodyText"/>
      </w:pPr>
      <w:r>
        <w:t xml:space="preserve">Roughly two hours later, her estranged husband, Andrew Stevenson, was under arrest</w:t>
      </w:r>
      <w:r>
        <w:t xml:space="preserve"> </w:t>
      </w:r>
      <w:r>
        <w:t xml:space="preserve">and charged with first-degree murder.</w:t>
      </w:r>
    </w:p>
    <w:p>
      <w:pPr>
        <w:pStyle w:val="BodyText"/>
      </w:pPr>
      <w:r>
        <w:t xml:space="preserve">No one disputed that whoever fired that shot was guilty of first-degree murder.</w:t>
      </w:r>
      <w:r>
        <w:t xml:space="preserve"> </w:t>
      </w:r>
      <w:r>
        <w:t xml:space="preserve">This was not a robbery gone sideways; the killer had lain in wait, patient and</w:t>
      </w:r>
      <w:r>
        <w:t xml:space="preserve"> </w:t>
      </w:r>
      <w:r>
        <w:t xml:space="preserve">deliberate. The only question in the entire case was the biggest one of all:</w:t>
      </w:r>
      <w:r>
        <w:t xml:space="preserve"> </w:t>
      </w:r>
      <w:r>
        <w:t xml:space="preserve">identity. Who was the figure beside the house? There were no eyewitnesses. The</w:t>
      </w:r>
      <w:r>
        <w:t xml:space="preserve"> </w:t>
      </w:r>
      <w:r>
        <w:t xml:space="preserve">gun was never found. Andrew Stevenson did not testify. The Crown’s case was built</w:t>
      </w:r>
      <w:r>
        <w:t xml:space="preserve"> </w:t>
      </w:r>
      <w:r>
        <w:t xml:space="preserve">entirely of circumstance, and one of its most important bricks was invisible to</w:t>
      </w:r>
      <w:r>
        <w:t xml:space="preserve"> </w:t>
      </w:r>
      <w:r>
        <w:t xml:space="preserve">the naked eye.</w:t>
      </w:r>
    </w:p>
    <w:bookmarkStart w:id="20" w:name="motive-opportunity-and-a-missing-hour"/>
    <w:p>
      <w:pPr>
        <w:pStyle w:val="Heading2"/>
      </w:pPr>
      <w:r>
        <w:t xml:space="preserve">Motive, opportunity, and a missing hour</w:t>
      </w:r>
    </w:p>
    <w:p>
      <w:pPr>
        <w:pStyle w:val="FirstParagraph"/>
      </w:pPr>
      <w:r>
        <w:t xml:space="preserve">Before the science, the ordinary evidence leaned toward the husband, though it</w:t>
      </w:r>
      <w:r>
        <w:t xml:space="preserve"> </w:t>
      </w:r>
      <w:r>
        <w:t xml:space="preserve">never leaned cleanly, and the Court of Appeal was scrupulous about saying so.</w:t>
      </w:r>
    </w:p>
    <w:p>
      <w:pPr>
        <w:pStyle w:val="BodyText"/>
      </w:pPr>
      <w:r>
        <w:t xml:space="preserve">The couple had separated thirteen months earlier and were grinding through a</w:t>
      </w:r>
      <w:r>
        <w:t xml:space="preserve"> </w:t>
      </w:r>
      <w:r>
        <w:t xml:space="preserve">divorce. Stevenson believed his wife had cheated during the marriage and nursed</w:t>
      </w:r>
      <w:r>
        <w:t xml:space="preserve"> </w:t>
      </w:r>
      <w:r>
        <w:t xml:space="preserve">what the judgment calls</w:t>
      </w:r>
      <w:r>
        <w:t xml:space="preserve"> </w:t>
      </w:r>
      <w:r>
        <w:t xml:space="preserve">“</w:t>
      </w:r>
      <w:r>
        <w:t xml:space="preserve">a considerable grudge,</w:t>
      </w:r>
      <w:r>
        <w:t xml:space="preserve">”</w:t>
      </w:r>
      <w:r>
        <w:t xml:space="preserve"> </w:t>
      </w:r>
      <w:r>
        <w:t xml:space="preserve">and this was not idle character</w:t>
      </w:r>
      <w:r>
        <w:t xml:space="preserve"> </w:t>
      </w:r>
      <w:r>
        <w:t xml:space="preserve">assessment: he had been convicted of threatening her only months before, in the</w:t>
      </w:r>
      <w:r>
        <w:t xml:space="preserve"> </w:t>
      </w:r>
      <w:r>
        <w:t xml:space="preserve">summer of 2006. The day before she was killed, Stefanie told him she’d rejected</w:t>
      </w:r>
      <w:r>
        <w:t xml:space="preserve"> </w:t>
      </w:r>
      <w:r>
        <w:t xml:space="preserve">his latest financial-settlement offer, some $30,000, and that his next word on the</w:t>
      </w:r>
      <w:r>
        <w:t xml:space="preserve"> </w:t>
      </w:r>
      <w:r>
        <w:t xml:space="preserve">subject would come from her lawyer. There was evidence he resented that she’d</w:t>
      </w:r>
      <w:r>
        <w:t xml:space="preserve"> </w:t>
      </w:r>
      <w:r>
        <w:t xml:space="preserve">begun living with another man and had said he didn’t want another man raising his</w:t>
      </w:r>
      <w:r>
        <w:t xml:space="preserve"> </w:t>
      </w:r>
      <w:r>
        <w:t xml:space="preserve">children. And he knew the two things a lurker would need to know: that she’d moved</w:t>
      </w:r>
      <w:r>
        <w:t xml:space="preserve"> </w:t>
      </w:r>
      <w:r>
        <w:t xml:space="preserve">into this particular house only about three weeks earlier, and her work schedule,</w:t>
      </w:r>
      <w:r>
        <w:t xml:space="preserve"> </w:t>
      </w:r>
      <w:r>
        <w:t xml:space="preserve">because he took their daughters while she worked.</w:t>
      </w:r>
    </w:p>
    <w:p>
      <w:pPr>
        <w:pStyle w:val="BodyText"/>
      </w:pPr>
      <w:r>
        <w:t xml:space="preserve">But, the court stressed, the motive evidence</w:t>
      </w:r>
      <w:r>
        <w:t xml:space="preserve"> </w:t>
      </w:r>
      <w:r>
        <w:t xml:space="preserve">“</w:t>
      </w:r>
      <w:r>
        <w:t xml:space="preserve">did not point only in one</w:t>
      </w:r>
      <w:r>
        <w:t xml:space="preserve"> </w:t>
      </w:r>
      <w:r>
        <w:t xml:space="preserve">direction.</w:t>
      </w:r>
      <w:r>
        <w:t xml:space="preserve">”</w:t>
      </w:r>
      <w:r>
        <w:t xml:space="preserve"> </w:t>
      </w:r>
      <w:r>
        <w:t xml:space="preserve">The two were largely getting along where the children were concerned.</w:t>
      </w:r>
      <w:r>
        <w:t xml:space="preserve"> </w:t>
      </w:r>
      <w:r>
        <w:t xml:space="preserve">The settlement conversation had not been a screaming match. Stevenson had a new</w:t>
      </w:r>
      <w:r>
        <w:t xml:space="preserve"> </w:t>
      </w:r>
      <w:r>
        <w:t xml:space="preserve">relationship of his own and, by appearances, had moved on. This is not the file of</w:t>
      </w:r>
      <w:r>
        <w:t xml:space="preserve"> </w:t>
      </w:r>
      <w:r>
        <w:t xml:space="preserve">a man visibly boiling over. It is the file of a man with reasons, which is a</w:t>
      </w:r>
      <w:r>
        <w:t xml:space="preserve"> </w:t>
      </w:r>
      <w:r>
        <w:t xml:space="preserve">weaker and more human thing.</w:t>
      </w:r>
    </w:p>
    <w:p>
      <w:pPr>
        <w:pStyle w:val="BodyText"/>
      </w:pPr>
      <w:r>
        <w:t xml:space="preserve">Opportunity had the same frustrating shape. Stevenson left his sister’s home near</w:t>
      </w:r>
      <w:r>
        <w:t xml:space="preserve"> </w:t>
      </w:r>
      <w:r>
        <w:t xml:space="preserve">Brockville around 5:00 p.m., and video surveillance dutifully tracked him</w:t>
      </w:r>
      <w:r>
        <w:t xml:space="preserve"> </w:t>
      </w:r>
      <w:r>
        <w:t xml:space="preserve">Christmas shopping until 6:35, when a McDonald’s camera caught him about twenty</w:t>
      </w:r>
      <w:r>
        <w:t xml:space="preserve"> </w:t>
      </w:r>
      <w:r>
        <w:t xml:space="preserve">minutes from the murder scene. Stefanie was killed between 7:20 and 7:25. He was</w:t>
      </w:r>
      <w:r>
        <w:t xml:space="preserve"> </w:t>
      </w:r>
      <w:r>
        <w:t xml:space="preserve">back at his sister’s, a twenty-to-twenty-five-minute drive from the scene, by</w:t>
      </w:r>
      <w:r>
        <w:t xml:space="preserve"> </w:t>
      </w:r>
      <w:r>
        <w:t xml:space="preserve">around 8:30. Which leaves a hole in the evening, 6:35 to 8:30, unaccounted for by</w:t>
      </w:r>
      <w:r>
        <w:t xml:space="preserve"> </w:t>
      </w:r>
      <w:r>
        <w:t xml:space="preserve">any witness or camera, and precisely wide enough to contain a murder. A missing</w:t>
      </w:r>
      <w:r>
        <w:t xml:space="preserve"> </w:t>
      </w:r>
      <w:r>
        <w:t xml:space="preserve">hour is not proof. But it is the kind of silence a jury notices.</w:t>
      </w:r>
    </w:p>
    <w:p>
      <w:pPr>
        <w:pStyle w:val="BodyText"/>
      </w:pPr>
      <w:r>
        <w:t xml:space="preserve">That is a case badly in need of a physical fact to close the gap. The Crown’s</w:t>
      </w:r>
      <w:r>
        <w:t xml:space="preserve"> </w:t>
      </w:r>
      <w:r>
        <w:t xml:space="preserve">physical fact was gunshot residue.</w:t>
      </w:r>
    </w:p>
    <w:bookmarkEnd w:id="20"/>
    <w:bookmarkStart w:id="21" w:name="X3b54e7c42de35d6c39964b70e410a725933d7ea"/>
    <w:p>
      <w:pPr>
        <w:pStyle w:val="Heading2"/>
      </w:pPr>
      <w:r>
        <w:t xml:space="preserve">What the particles were, and what they weren’t</w:t>
      </w:r>
    </w:p>
    <w:p>
      <w:pPr>
        <w:pStyle w:val="FirstParagraph"/>
      </w:pPr>
      <w:r>
        <w:t xml:space="preserve">When police arrested Stevenson, they bagged his hands in plastic to preserve any</w:t>
      </w:r>
      <w:r>
        <w:t xml:space="preserve"> </w:t>
      </w:r>
      <w:r>
        <w:t xml:space="preserve">residue, then later daubed them and seized his clothing for testing at the Centre</w:t>
      </w:r>
      <w:r>
        <w:t xml:space="preserve"> </w:t>
      </w:r>
      <w:r>
        <w:t xml:space="preserve">of Forensic Sciences.</w:t>
      </w:r>
    </w:p>
    <w:p>
      <w:pPr>
        <w:pStyle w:val="BodyText"/>
      </w:pPr>
      <w:r>
        <w:t xml:space="preserve">The haul was substantial. Examiners found two gunshot-residue particles on the</w:t>
      </w:r>
      <w:r>
        <w:t xml:space="preserve"> </w:t>
      </w:r>
      <w:r>
        <w:t xml:space="preserve">back of his left hand, nine on the web of his right hand, thirteen on the back of</w:t>
      </w:r>
      <w:r>
        <w:t xml:space="preserve"> </w:t>
      </w:r>
      <w:r>
        <w:t xml:space="preserve">his right hand, and more on his jacket sleeve and on the front and back of his</w:t>
      </w:r>
      <w:r>
        <w:t xml:space="preserve"> </w:t>
      </w:r>
      <w:r>
        <w:t xml:space="preserve">pants. And these were not loose approximations or lookalikes. A particle only</w:t>
      </w:r>
      <w:r>
        <w:t xml:space="preserve"> </w:t>
      </w:r>
      <w:r>
        <w:t xml:space="preserve">counts as GSR if it contains all three elements, lead, antimony, and barium, fused</w:t>
      </w:r>
      <w:r>
        <w:t xml:space="preserve"> </w:t>
      </w:r>
      <w:r>
        <w:t xml:space="preserve">together by the specific heat and pressure of a firearm going off. The forensic</w:t>
      </w:r>
      <w:r>
        <w:t xml:space="preserve"> </w:t>
      </w:r>
      <w:r>
        <w:t xml:space="preserve">scientist explained that such particles are stubbornly persistent, they don’t</w:t>
      </w:r>
      <w:r>
        <w:t xml:space="preserve"> </w:t>
      </w:r>
      <w:r>
        <w:t xml:space="preserve">readily degrade, and, crucially, they transfer from surface to surface with the</w:t>
      </w:r>
      <w:r>
        <w:t xml:space="preserve"> </w:t>
      </w:r>
      <w:r>
        <w:t xml:space="preserve">lightest contact.</w:t>
      </w:r>
    </w:p>
    <w:p>
      <w:pPr>
        <w:pStyle w:val="BodyText"/>
      </w:pPr>
      <w:r>
        <w:t xml:space="preserve">That last property is the hinge the entire case swings on, and the reason this</w:t>
      </w:r>
      <w:r>
        <w:t xml:space="preserve"> </w:t>
      </w:r>
      <w:r>
        <w:t xml:space="preserve">chapter sits a little uneasily beside the others. As the expert testified, and as</w:t>
      </w:r>
      <w:r>
        <w:t xml:space="preserve"> </w:t>
      </w:r>
      <w:r>
        <w:t xml:space="preserve">the Court of Appeal underlined, the presence of GSR on a person’s hands</w:t>
      </w:r>
      <w:r>
        <w:t xml:space="preserve"> </w:t>
      </w:r>
      <w:r>
        <w:t xml:space="preserve">“</w:t>
      </w:r>
      <w:r>
        <w:t xml:space="preserve">does not</w:t>
      </w:r>
      <w:r>
        <w:t xml:space="preserve"> </w:t>
      </w:r>
      <w:r>
        <w:t xml:space="preserve">assist in identifying how the particles came to be</w:t>
      </w:r>
      <w:r>
        <w:t xml:space="preserve">”</w:t>
      </w:r>
      <w:r>
        <w:t xml:space="preserve"> </w:t>
      </w:r>
      <w:r>
        <w:t xml:space="preserve">there. The residue proves you</w:t>
      </w:r>
      <w:r>
        <w:t xml:space="preserve"> </w:t>
      </w:r>
      <w:r>
        <w:t xml:space="preserve">were near a gun when it fired. It does not, on its own, prove your hand pulled the</w:t>
      </w:r>
      <w:r>
        <w:t xml:space="preserve"> </w:t>
      </w:r>
      <w:r>
        <w:t xml:space="preserve">trigger. The defence pressed exactly that point, floating innocent routes for the</w:t>
      </w:r>
      <w:r>
        <w:t xml:space="preserve"> </w:t>
      </w:r>
      <w:r>
        <w:t xml:space="preserve">particles to have arrived, including transfer after the arrest, from officers’</w:t>
      </w:r>
      <w:r>
        <w:t xml:space="preserve"> </w:t>
      </w:r>
      <w:r>
        <w:t xml:space="preserve">hands or from surfaces in police custody. It is a real argument, and the honest</w:t>
      </w:r>
      <w:r>
        <w:t xml:space="preserve"> </w:t>
      </w:r>
      <w:r>
        <w:t xml:space="preserve">truth is that gunshot residue has helped convict the guilty and has, in other</w:t>
      </w:r>
      <w:r>
        <w:t xml:space="preserve"> </w:t>
      </w:r>
      <w:r>
        <w:t xml:space="preserve">cases, helped rush the innocent toward the wrong verdict.</w:t>
      </w:r>
    </w:p>
    <w:p>
      <w:pPr>
        <w:pStyle w:val="BodyText"/>
      </w:pPr>
      <w:r>
        <w:t xml:space="preserve">The admissibility of that evidence, and the way it was explained to the jury, was</w:t>
      </w:r>
      <w:r>
        <w:t xml:space="preserve"> </w:t>
      </w:r>
      <w:r>
        <w:t xml:space="preserve">the heart of the appeal. In November 2014 the Court of Appeal for Ontario examined</w:t>
      </w:r>
      <w:r>
        <w:t xml:space="preserve"> </w:t>
      </w:r>
      <w:r>
        <w:t xml:space="preserve">how the residue had been presented and dismissed the appeal. The GSR was properly</w:t>
      </w:r>
      <w:r>
        <w:t xml:space="preserve"> </w:t>
      </w:r>
      <w:r>
        <w:t xml:space="preserve">admitted. Stacked together with the lying-in-wait ambush, the grudge, the killer’s</w:t>
      </w:r>
      <w:r>
        <w:t xml:space="preserve"> </w:t>
      </w:r>
      <w:r>
        <w:t xml:space="preserve">private knowledge of the victim’s new address and schedule, and that missing hour,</w:t>
      </w:r>
      <w:r>
        <w:t xml:space="preserve"> </w:t>
      </w:r>
      <w:r>
        <w:t xml:space="preserve">the particles helped a jury conclude, beyond a reasonable doubt, that the patient</w:t>
      </w:r>
      <w:r>
        <w:t xml:space="preserve"> </w:t>
      </w:r>
      <w:r>
        <w:t xml:space="preserve">figure beside the house had been her husband.</w:t>
      </w:r>
    </w:p>
    <w:bookmarkEnd w:id="21"/>
    <w:bookmarkStart w:id="23" w:name="howd-he-get-caught"/>
    <w:p>
      <w:pPr>
        <w:pStyle w:val="Heading2"/>
      </w:pPr>
      <w:r>
        <w:t xml:space="preserve">How’d he get caught?</w:t>
      </w:r>
    </w:p>
    <w:p>
      <w:pPr>
        <w:pStyle w:val="FirstParagraph"/>
      </w:pPr>
      <w:r>
        <w:t xml:space="preserve">He was caught by a constellation, not a single star, and that is the point worth</w:t>
      </w:r>
      <w:r>
        <w:t xml:space="preserve"> </w:t>
      </w:r>
      <w:r>
        <w:t xml:space="preserve">sitting with. Nobody saw the shooter. Nobody recovered the gun. What the Crown</w:t>
      </w:r>
      <w:r>
        <w:t xml:space="preserve"> </w:t>
      </w:r>
      <w:r>
        <w:t xml:space="preserve">assembled instead was a killer who happened to know where the victim now lived and</w:t>
      </w:r>
      <w:r>
        <w:t xml:space="preserve"> </w:t>
      </w:r>
      <w:r>
        <w:t xml:space="preserve">when she left for work, a husband with a grudge and a fresh money grievance, an</w:t>
      </w:r>
      <w:r>
        <w:t xml:space="preserve"> </w:t>
      </w:r>
      <w:r>
        <w:t xml:space="preserve">hour on the night of the murder he could not account for, and then the residue,</w:t>
      </w:r>
      <w:r>
        <w:t xml:space="preserve"> </w:t>
      </w:r>
      <w:r>
        <w:t xml:space="preserve">dozens of three-element particles across both hands and his clothes, the chemical</w:t>
      </w:r>
      <w:r>
        <w:t xml:space="preserve"> </w:t>
      </w:r>
      <w:r>
        <w:t xml:space="preserve">signature of standing beside a gun at the instant it speaks. Take any one of those</w:t>
      </w:r>
      <w:r>
        <w:t xml:space="preserve"> </w:t>
      </w:r>
      <w:r>
        <w:t xml:space="preserve">facts alone and Andrew Stevenson had an answer. The GSR could transfer. The hour</w:t>
      </w:r>
      <w:r>
        <w:t xml:space="preserve"> </w:t>
      </w:r>
      <w:r>
        <w:t xml:space="preserve">could be spent anywhere. A grudge is just a grudge. What he could not answer was</w:t>
      </w:r>
      <w:r>
        <w:t xml:space="preserve"> </w:t>
      </w:r>
      <w:r>
        <w:t xml:space="preserve">the sheer improbability of all of them landing on the same man, on the same night,</w:t>
      </w:r>
      <w:r>
        <w:t xml:space="preserve"> </w:t>
      </w:r>
      <w:r>
        <w:t xml:space="preserve">outside the same house. Some criminals are undone by one spectacular blunder.</w:t>
      </w:r>
      <w:r>
        <w:t xml:space="preserve"> </w:t>
      </w:r>
      <w:r>
        <w:t xml:space="preserve">Others are simply buried, one modest and innocent-looking fact at a time, until the</w:t>
      </w:r>
      <w:r>
        <w:t xml:space="preserve"> </w:t>
      </w:r>
      <w:r>
        <w:t xml:space="preserve">pile stops looking like a coincidence.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R. v. Stevenson</w:t>
      </w:r>
      <w:r>
        <w:t xml:space="preserve">, 2014 ONCA 842, Court of</w:t>
      </w:r>
      <w:r>
        <w:t xml:space="preserve"> </w:t>
      </w:r>
      <w:r>
        <w:t xml:space="preserve">Appeal for Ontario, decided November 26, 2014 (Doherty J.A.; Rouleau and</w:t>
      </w:r>
      <w:r>
        <w:t xml:space="preserve"> </w:t>
      </w:r>
      <w:r>
        <w:t xml:space="preserve">Epstein JJ.A. concurring).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CanLII</w:t>
        </w:r>
      </w:hyperlink>
      <w:r>
        <w:t xml:space="preserve">.</w:t>
      </w:r>
      <w:r>
        <w:t xml:space="preserve"> </w:t>
      </w:r>
      <w:r>
        <w:t xml:space="preserve">The evidence is grouped under six headings beginning at para. 4; the detailed</w:t>
      </w:r>
      <w:r>
        <w:t xml:space="preserve"> </w:t>
      </w:r>
      <w:r>
        <w:t xml:space="preserve">GSR findings and the admissibility analysis follow.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canlii.org/en/on/onca/doc/2014/2014onca842/2014onca84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canlii.org/en/on/onca/doc/2014/2014onca842/2014onca84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2026-07-02T13:51:09Z</dcterms:created>
  <dcterms:modified xsi:type="dcterms:W3CDTF">2026-07-02T13:51:09Z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