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8e3b13a3c10a83725da07aa1de7edbabc587b2"/>
    <w:p>
      <w:pPr>
        <w:pStyle w:val="Heading1"/>
      </w:pPr>
      <w:r>
        <w:t xml:space="preserve">Chapter 29 - The Judge and the Paralyzed Hand</w:t>
      </w:r>
    </w:p>
    <w:p>
      <w:pPr>
        <w:pStyle w:val="FirstParagraph"/>
      </w:pPr>
      <w:r>
        <w:rPr>
          <w:bCs/>
          <w:b/>
        </w:rPr>
        <w:t xml:space="preserve">A retired appeal-court judge told police his wife had shot herself. But a stroke</w:t>
      </w:r>
      <w:r>
        <w:rPr>
          <w:bCs/>
          <w:b/>
        </w:rPr>
        <w:t xml:space="preserve"> </w:t>
      </w:r>
      <w:r>
        <w:rPr>
          <w:bCs/>
          <w:b/>
        </w:rPr>
        <w:t xml:space="preserve">had left her right arm completely paralyzed, and the gunpowder was on her left</w:t>
      </w:r>
      <w:r>
        <w:rPr>
          <w:bCs/>
          <w:b/>
        </w:rPr>
        <w:t xml:space="preserve"> </w:t>
      </w:r>
      <w:r>
        <w:rPr>
          <w:bCs/>
          <w:b/>
        </w:rPr>
        <w:t xml:space="preserve">hand, in a pattern no suicide could have made. This is also the chapter where the</w:t>
      </w:r>
      <w:r>
        <w:rPr>
          <w:bCs/>
          <w:b/>
        </w:rPr>
        <w:t xml:space="preserve"> </w:t>
      </w:r>
      <w:r>
        <w:rPr>
          <w:bCs/>
          <w:b/>
        </w:rPr>
        <w:t xml:space="preserve">forensics, years later, came under suspicion themselves.</w:t>
      </w:r>
    </w:p>
    <w:p>
      <w:pPr>
        <w:pStyle w:val="BodyText"/>
      </w:pPr>
      <w:r>
        <w:t xml:space="preserve">Jacques Delisle had spent his career on the other side of the bench. He was a</w:t>
      </w:r>
      <w:r>
        <w:t xml:space="preserve"> </w:t>
      </w:r>
      <w:r>
        <w:t xml:space="preserve">retired judge of the Quebec Court of Appeal, the very court that would one day sit</w:t>
      </w:r>
      <w:r>
        <w:t xml:space="preserve"> </w:t>
      </w:r>
      <w:r>
        <w:t xml:space="preserve">in judgment of him, and in 2012 a jury convicted him of the first-degree murder of</w:t>
      </w:r>
      <w:r>
        <w:t xml:space="preserve"> </w:t>
      </w:r>
      <w:r>
        <w:t xml:space="preserve">his wife, Nicole Rainville. His account, given to police in his own home, was that</w:t>
      </w:r>
      <w:r>
        <w:t xml:space="preserve"> </w:t>
      </w:r>
      <w:r>
        <w:t xml:space="preserve">the seventy-one-year-old Rainville had taken her own life, and that he had no idea</w:t>
      </w:r>
      <w:r>
        <w:t xml:space="preserve"> </w:t>
      </w:r>
      <w:r>
        <w:t xml:space="preserve">what had happened.</w:t>
      </w:r>
    </w:p>
    <w:p>
      <w:pPr>
        <w:pStyle w:val="BodyText"/>
      </w:pPr>
      <w:r>
        <w:t xml:space="preserve">The scene seemed, at a glance, to fit. Rainville lay on the living-room sofa, on</w:t>
      </w:r>
      <w:r>
        <w:t xml:space="preserve"> </w:t>
      </w:r>
      <w:r>
        <w:t xml:space="preserve">her back, bloodstained, a wound visible at her left temple. On the floor, level</w:t>
      </w:r>
      <w:r>
        <w:t xml:space="preserve"> </w:t>
      </w:r>
      <w:r>
        <w:t xml:space="preserve">with her left arm, was a .22-calibre Sterling handgun. A woman, a gun, a wound to</w:t>
      </w:r>
      <w:r>
        <w:t xml:space="preserve"> </w:t>
      </w:r>
      <w:r>
        <w:t xml:space="preserve">the head: the tableau of a suicide. But a staged suicide, like every staged scene</w:t>
      </w:r>
      <w:r>
        <w:t xml:space="preserve"> </w:t>
      </w:r>
      <w:r>
        <w:t xml:space="preserve">in this part of the book, is a story that has to survive contact with the victim’s</w:t>
      </w:r>
      <w:r>
        <w:t xml:space="preserve"> </w:t>
      </w:r>
      <w:r>
        <w:t xml:space="preserve">own body, and Nicole Rainville’s body told a story her husband’s could not.</w:t>
      </w:r>
    </w:p>
    <w:bookmarkStart w:id="20" w:name="what-the-left-hand-could-not-do"/>
    <w:p>
      <w:pPr>
        <w:pStyle w:val="Heading2"/>
      </w:pPr>
      <w:r>
        <w:t xml:space="preserve">What the left hand could not do</w:t>
      </w:r>
    </w:p>
    <w:p>
      <w:pPr>
        <w:pStyle w:val="FirstParagraph"/>
      </w:pPr>
      <w:r>
        <w:t xml:space="preserve">Two facts, set beside each other, dismantled the suicide.</w:t>
      </w:r>
    </w:p>
    <w:p>
      <w:pPr>
        <w:pStyle w:val="BodyText"/>
      </w:pPr>
      <w:r>
        <w:t xml:space="preserve">The first was medical. Some time before her death, Nicole Rainville had suffered a</w:t>
      </w:r>
      <w:r>
        <w:t xml:space="preserve"> </w:t>
      </w:r>
      <w:r>
        <w:t xml:space="preserve">stroke. It had left her with a weakened right leg and a right arm that was</w:t>
      </w:r>
      <w:r>
        <w:t xml:space="preserve"> </w:t>
      </w:r>
      <w:r>
        <w:t xml:space="preserve">completely paralyzed. Whatever she could still do, she could not do with her right</w:t>
      </w:r>
      <w:r>
        <w:t xml:space="preserve"> </w:t>
      </w:r>
      <w:r>
        <w:t xml:space="preserve">hand. So if she had shot herself, she had done it left-handed.</w:t>
      </w:r>
    </w:p>
    <w:p>
      <w:pPr>
        <w:pStyle w:val="BodyText"/>
      </w:pPr>
      <w:r>
        <w:t xml:space="preserve">The second was forensic. When the pathologist and the firearms experts examined</w:t>
      </w:r>
      <w:r>
        <w:t xml:space="preserve"> </w:t>
      </w:r>
      <w:r>
        <w:t xml:space="preserve">her, they found the telltale residue of a gunshot, the black smoke and embedded</w:t>
      </w:r>
      <w:r>
        <w:t xml:space="preserve"> </w:t>
      </w:r>
      <w:r>
        <w:t xml:space="preserve">gunpowder, on her left hand, with a smaller, fainter deposit near the left thumb.</w:t>
      </w:r>
      <w:r>
        <w:t xml:space="preserve"> </w:t>
      </w:r>
      <w:r>
        <w:t xml:space="preserve">The question, then, was narrow and answerable: was there any way for Nicole</w:t>
      </w:r>
      <w:r>
        <w:t xml:space="preserve"> </w:t>
      </w:r>
      <w:r>
        <w:t xml:space="preserve">Rainville to have fired that pistol into her own left temple, using her one working</w:t>
      </w:r>
      <w:r>
        <w:t xml:space="preserve"> </w:t>
      </w:r>
      <w:r>
        <w:t xml:space="preserve">hand, that would leave residue in that pattern? A firearms expert worked it</w:t>
      </w:r>
      <w:r>
        <w:t xml:space="preserve"> </w:t>
      </w:r>
      <w:r>
        <w:t xml:space="preserve">through and reached a flat conclusion. There was no position consistent with</w:t>
      </w:r>
      <w:r>
        <w:t xml:space="preserve"> </w:t>
      </w:r>
      <w:r>
        <w:t xml:space="preserve">suicide that would have left such traces on the left hand. Her wound, he</w:t>
      </w:r>
      <w:r>
        <w:t xml:space="preserve"> </w:t>
      </w:r>
      <w:r>
        <w:t xml:space="preserve">determined, could not have been self-inflicted.</w:t>
      </w:r>
    </w:p>
    <w:p>
      <w:pPr>
        <w:pStyle w:val="BodyText"/>
      </w:pPr>
      <w:r>
        <w:t xml:space="preserve">A woman with one paralyzed arm, a wound to the temple, and gunpowder deposited on</w:t>
      </w:r>
      <w:r>
        <w:t xml:space="preserve"> </w:t>
      </w:r>
      <w:r>
        <w:t xml:space="preserve">her surviving hand in a way that no act of self-destruction could produce. The</w:t>
      </w:r>
      <w:r>
        <w:t xml:space="preserve"> </w:t>
      </w:r>
      <w:r>
        <w:t xml:space="preserve">suicide Delisle described was not merely unlikely. According to the science put</w:t>
      </w:r>
      <w:r>
        <w:t xml:space="preserve"> </w:t>
      </w:r>
      <w:r>
        <w:t xml:space="preserve">before the jury, it was impossible. He was convicted, and in 2013 the Quebec Court</w:t>
      </w:r>
      <w:r>
        <w:t xml:space="preserve"> </w:t>
      </w:r>
      <w:r>
        <w:t xml:space="preserve">of Appeal, his own former court, dismissed his appeal.</w:t>
      </w:r>
    </w:p>
    <w:bookmarkEnd w:id="20"/>
    <w:bookmarkStart w:id="21" w:name="the-chapters-second-harder-turn"/>
    <w:p>
      <w:pPr>
        <w:pStyle w:val="Heading2"/>
      </w:pPr>
      <w:r>
        <w:t xml:space="preserve">The chapter’s second, harder turn</w:t>
      </w:r>
    </w:p>
    <w:p>
      <w:pPr>
        <w:pStyle w:val="FirstParagraph"/>
      </w:pPr>
      <w:r>
        <w:t xml:space="preserve">This book is honest about its cases, and Delisle’s does not end where a tidy</w:t>
      </w:r>
      <w:r>
        <w:t xml:space="preserve"> </w:t>
      </w:r>
      <w:r>
        <w:t xml:space="preserve">morality tale would like it to. Because the very forensic confidence that convicted</w:t>
      </w:r>
      <w:r>
        <w:t xml:space="preserve"> </w:t>
      </w:r>
      <w:r>
        <w:t xml:space="preserve">him, the certainty that the wound could not have been self-inflicted, later became</w:t>
      </w:r>
      <w:r>
        <w:t xml:space="preserve"> </w:t>
      </w:r>
      <w:r>
        <w:t xml:space="preserve">the subject of serious doubt.</w:t>
      </w:r>
    </w:p>
    <w:p>
      <w:pPr>
        <w:pStyle w:val="BodyText"/>
      </w:pPr>
      <w:r>
        <w:t xml:space="preserve">Years after the appeal, the case was reviewed at the federal level, and in 2021 the</w:t>
      </w:r>
      <w:r>
        <w:t xml:space="preserve"> </w:t>
      </w:r>
      <w:r>
        <w:t xml:space="preserve">Minister of Justice, citing concerns that the forensic evidence about the gunshot</w:t>
      </w:r>
      <w:r>
        <w:t xml:space="preserve"> </w:t>
      </w:r>
      <w:r>
        <w:t xml:space="preserve">may have been overstated, ordered that Delisle’s conviction be set aside and a new</w:t>
      </w:r>
      <w:r>
        <w:t xml:space="preserve"> </w:t>
      </w:r>
      <w:r>
        <w:t xml:space="preserve">trial held. The staged-suicide science that had seemed airtight in the courtroom</w:t>
      </w:r>
      <w:r>
        <w:t xml:space="preserve"> </w:t>
      </w:r>
      <w:r>
        <w:t xml:space="preserve">looked, on later scrutiny, less certain than it had been made to sound. And in</w:t>
      </w:r>
      <w:r>
        <w:t xml:space="preserve"> </w:t>
      </w:r>
      <w:r>
        <w:t xml:space="preserve">2024, rather than face that new trial, Jacques Delisle pleaded guilty to</w:t>
      </w:r>
      <w:r>
        <w:t xml:space="preserve"> </w:t>
      </w:r>
      <w:r>
        <w:t xml:space="preserve">manslaughter and, credited with the years he had already served, walked free.</w:t>
      </w:r>
      <w:r>
        <w:t xml:space="preserve"> </w:t>
      </w:r>
      <w:r>
        <w:rPr>
          <w:iCs/>
          <w:i/>
        </w:rPr>
        <w:t xml:space="preserve">(That later history, the ministerial review, the ordered new trial,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manslaughter plea, comes from the record of the case after the 2013 appeal</w:t>
      </w:r>
      <w:r>
        <w:rPr>
          <w:iCs/>
          <w:i/>
        </w:rPr>
        <w:t xml:space="preserve"> </w:t>
      </w:r>
      <w:r>
        <w:rPr>
          <w:iCs/>
          <w:i/>
        </w:rPr>
        <w:t xml:space="preserve">anchored here, not from the appeal itself.)</w:t>
      </w:r>
    </w:p>
    <w:p>
      <w:pPr>
        <w:pStyle w:val="BodyText"/>
      </w:pPr>
      <w:r>
        <w:t xml:space="preserve">So what is Delisle, in the end? A wife-killer caught by the physics of a wound his</w:t>
      </w:r>
      <w:r>
        <w:t xml:space="preserve"> </w:t>
      </w:r>
      <w:r>
        <w:t xml:space="preserve">lie could not survive, or a man convicted on forensic certainty that turned out to</w:t>
      </w:r>
      <w:r>
        <w:t xml:space="preserve"> </w:t>
      </w:r>
      <w:r>
        <w:t xml:space="preserve">be softer than advertised, who then admitted enough to end the ordeal? The honest</w:t>
      </w:r>
      <w:r>
        <w:t xml:space="preserve"> </w:t>
      </w:r>
      <w:r>
        <w:t xml:space="preserve">answer is that the case has been, at different moments, told as both, and that is</w:t>
      </w:r>
      <w:r>
        <w:t xml:space="preserve"> </w:t>
      </w:r>
      <w:r>
        <w:t xml:space="preserve">exactly why it belongs here. The staged-suicide analysis in this part of the book</w:t>
      </w:r>
      <w:r>
        <w:t xml:space="preserve"> </w:t>
      </w:r>
      <w:r>
        <w:t xml:space="preserve">is a powerful tool. Delisle is the reminder that a tool that powerful must be</w:t>
      </w:r>
      <w:r>
        <w:t xml:space="preserve"> </w:t>
      </w:r>
      <w:r>
        <w:t xml:space="preserve">wielded with humility, because the same confident expert who exposes a real killer</w:t>
      </w:r>
      <w:r>
        <w:t xml:space="preserve"> </w:t>
      </w:r>
      <w:r>
        <w:t xml:space="preserve">can, in another case, sound just as sure and be reaching too far.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caught, first, by the gap between the death he described and the body that</w:t>
      </w:r>
      <w:r>
        <w:t xml:space="preserve"> </w:t>
      </w:r>
      <w:r>
        <w:t xml:space="preserve">described it back. Jacques Delisle asked the police to believe that a</w:t>
      </w:r>
      <w:r>
        <w:t xml:space="preserve"> </w:t>
      </w:r>
      <w:r>
        <w:t xml:space="preserve">seventy-one-year-old woman with a completely paralyzed right arm had shot herself</w:t>
      </w:r>
      <w:r>
        <w:t xml:space="preserve"> </w:t>
      </w:r>
      <w:r>
        <w:t xml:space="preserve">in the left temple, and the residue on her left hand said she had not, and could</w:t>
      </w:r>
      <w:r>
        <w:t xml:space="preserve"> </w:t>
      </w:r>
      <w:r>
        <w:t xml:space="preserve">not have. It was the physics of the wound, not any confession, that turned a</w:t>
      </w:r>
      <w:r>
        <w:t xml:space="preserve"> </w:t>
      </w:r>
      <w:r>
        <w:t xml:space="preserve">grieving widower into a convicted murderer. What makes his story different from the</w:t>
      </w:r>
      <w:r>
        <w:t xml:space="preserve"> </w:t>
      </w:r>
      <w:r>
        <w:t xml:space="preserve">others in this part is what came after: the discovery that the science which</w:t>
      </w:r>
      <w:r>
        <w:t xml:space="preserve"> </w:t>
      </w:r>
      <w:r>
        <w:t xml:space="preserve">seemed to catch him so cleanly was, itself, open to challenge. He was caught by</w:t>
      </w:r>
      <w:r>
        <w:t xml:space="preserve"> </w:t>
      </w:r>
      <w:r>
        <w:t xml:space="preserve">forensic certainty. Years later, that certainty was the thing put on trial.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Delisle c. R.</w:t>
      </w:r>
      <w:r>
        <w:t xml:space="preserve">, 2013 QCCA 952, Court of Appeal of</w:t>
      </w:r>
      <w:r>
        <w:t xml:space="preserve"> </w:t>
      </w:r>
      <w:r>
        <w:t xml:space="preserve">Quebec, 2013 (unofficial English translation available; SCC leave later denied).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scene, the victim’s paralyzed right arm, and the firearms/pathology evidence</w:t>
      </w:r>
      <w:r>
        <w:t xml:space="preserve"> </w:t>
      </w:r>
      <w:r>
        <w:t xml:space="preserve">that the wound could not have been self-inflicted are set out in the reasons.</w:t>
      </w:r>
      <w:r>
        <w:t xml:space="preserve"> </w:t>
      </w:r>
      <w:r>
        <w:t xml:space="preserve">The 2021 ministerial order for a new trial and Delisle’s 2024 manslaughter plea</w:t>
      </w:r>
      <w:r>
        <w:t xml:space="preserve"> </w:t>
      </w:r>
      <w:r>
        <w:t xml:space="preserve">are part of the case’s later history, after this appeal.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qc/qcca/doc/2013/2013qcca952/2013qcca9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qc/qcca/doc/2013/2013qcca952/2013qcca9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