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82c5989a80ae47ee805ecb40a4fe4596bd7d49"/>
    <w:p>
      <w:pPr>
        <w:pStyle w:val="Heading1"/>
      </w:pPr>
      <w:r>
        <w:t xml:space="preserve">Chapter 32 - A Suicide Fired From Three Feet Away</w:t>
      </w:r>
    </w:p>
    <w:p>
      <w:pPr>
        <w:pStyle w:val="FirstParagraph"/>
      </w:pPr>
      <w:r>
        <w:rPr>
          <w:bCs/>
          <w:b/>
        </w:rPr>
        <w:t xml:space="preserve">A man cannot shoot himself from three feet away. Jerry Johnson was killed by a</w:t>
      </w:r>
      <w:r>
        <w:rPr>
          <w:bCs/>
          <w:b/>
        </w:rPr>
        <w:t xml:space="preserve"> </w:t>
      </w:r>
      <w:r>
        <w:rPr>
          <w:bCs/>
          <w:b/>
        </w:rPr>
        <w:t xml:space="preserve">bullet fired from at least that far, with no powder residue around the wound, and</w:t>
      </w:r>
      <w:r>
        <w:rPr>
          <w:bCs/>
          <w:b/>
        </w:rPr>
        <w:t xml:space="preserve"> </w:t>
      </w:r>
      <w:r>
        <w:rPr>
          <w:bCs/>
          <w:b/>
        </w:rPr>
        <w:t xml:space="preserve">his wife told at least six different stories about how it happened.</w:t>
      </w:r>
    </w:p>
    <w:p>
      <w:pPr>
        <w:pStyle w:val="BodyText"/>
      </w:pPr>
      <w:r>
        <w:t xml:space="preserve">The physics of a self-inflicted gunshot are not negotiable. To shoot yourself, the</w:t>
      </w:r>
      <w:r>
        <w:t xml:space="preserve"> </w:t>
      </w:r>
      <w:r>
        <w:t xml:space="preserve">gun has to be close, close enough that the burning gases and unburnt powder that</w:t>
      </w:r>
      <w:r>
        <w:t xml:space="preserve"> </w:t>
      </w:r>
      <w:r>
        <w:t xml:space="preserve">erupt from the muzzle scorch and stipple the skin around the entrance wound. That</w:t>
      </w:r>
      <w:r>
        <w:t xml:space="preserve"> </w:t>
      </w:r>
      <w:r>
        <w:t xml:space="preserve">sooty halo is the signature of a contact or near-contact shot, and its presence or</w:t>
      </w:r>
      <w:r>
        <w:t xml:space="preserve"> </w:t>
      </w:r>
      <w:r>
        <w:t xml:space="preserve">absence is one of the first things a pathologist looks for when a death is dressed</w:t>
      </w:r>
      <w:r>
        <w:t xml:space="preserve"> </w:t>
      </w:r>
      <w:r>
        <w:t xml:space="preserve">up as a suicide. When that halo is missing, and the bullet came from across the</w:t>
      </w:r>
      <w:r>
        <w:t xml:space="preserve"> </w:t>
      </w:r>
      <w:r>
        <w:t xml:space="preserve">room, the suicide story is over before it starts.</w:t>
      </w:r>
    </w:p>
    <w:p>
      <w:pPr>
        <w:pStyle w:val="BodyText"/>
      </w:pPr>
      <w:r>
        <w:t xml:space="preserve">Jerry Wayne Johnson was killed by a .25 caliber handgun in his own home on a night</w:t>
      </w:r>
      <w:r>
        <w:t xml:space="preserve"> </w:t>
      </w:r>
      <w:r>
        <w:t xml:space="preserve">when only three people were present: Jerry, his wife Mary, and their son, Jerry II.</w:t>
      </w:r>
      <w:r>
        <w:t xml:space="preserve"> </w:t>
      </w:r>
      <w:r>
        <w:t xml:space="preserve">The scientific evidence was undisputed and unforgiving. The fatal shot had been</w:t>
      </w:r>
      <w:r>
        <w:t xml:space="preserve"> </w:t>
      </w:r>
      <w:r>
        <w:t xml:space="preserve">fired from three feet or further away, and there was no firearm residue associated</w:t>
      </w:r>
      <w:r>
        <w:t xml:space="preserve"> </w:t>
      </w:r>
      <w:r>
        <w:t xml:space="preserve">with the entrance wound. Both facts are, as the Texas court put it plainly,</w:t>
      </w:r>
      <w:r>
        <w:t xml:space="preserve"> </w:t>
      </w:r>
      <w:r>
        <w:t xml:space="preserve">incompatible with suicide. No man shoots himself from three feet away. The gun</w:t>
      </w:r>
      <w:r>
        <w:t xml:space="preserve"> </w:t>
      </w:r>
      <w:r>
        <w:t xml:space="preserve">does not reach.</w:t>
      </w:r>
    </w:p>
    <w:bookmarkStart w:id="20" w:name="six-stories-in-search-of-an-alibi"/>
    <w:p>
      <w:pPr>
        <w:pStyle w:val="Heading2"/>
      </w:pPr>
      <w:r>
        <w:t xml:space="preserve">Six stories in search of an alibi</w:t>
      </w:r>
    </w:p>
    <w:p>
      <w:pPr>
        <w:pStyle w:val="FirstParagraph"/>
      </w:pPr>
      <w:r>
        <w:t xml:space="preserve">If the forensic evidence quietly closed the door on suicide, Mary Johnson’s own</w:t>
      </w:r>
      <w:r>
        <w:t xml:space="preserve"> </w:t>
      </w:r>
      <w:r>
        <w:t xml:space="preserve">words nailed it shut, because she could not settle on what had happened, and the</w:t>
      </w:r>
      <w:r>
        <w:t xml:space="preserve"> </w:t>
      </w:r>
      <w:r>
        <w:t xml:space="preserve">sheer number of her attempts is its own kind of confession.</w:t>
      </w:r>
    </w:p>
    <w:p>
      <w:pPr>
        <w:pStyle w:val="BodyText"/>
      </w:pPr>
      <w:r>
        <w:t xml:space="preserve">Consider the versions she offered. She told a volunteer firefighter, simply, that</w:t>
      </w:r>
      <w:r>
        <w:t xml:space="preserve"> </w:t>
      </w:r>
      <w:r>
        <w:t xml:space="preserve">“</w:t>
      </w:r>
      <w:r>
        <w:t xml:space="preserve">Jerry has shot himself.</w:t>
      </w:r>
      <w:r>
        <w:t xml:space="preserve">”</w:t>
      </w:r>
      <w:r>
        <w:t xml:space="preserve"> </w:t>
      </w:r>
      <w:r>
        <w:t xml:space="preserve">She told her son she had fetched the gun at her husband’s</w:t>
      </w:r>
      <w:r>
        <w:t xml:space="preserve"> </w:t>
      </w:r>
      <w:r>
        <w:t xml:space="preserve">request, and that when she sat down in the recliner beside him, it went off. She</w:t>
      </w:r>
      <w:r>
        <w:t xml:space="preserve"> </w:t>
      </w:r>
      <w:r>
        <w:t xml:space="preserve">told one deputy she had no idea how Jerry got shot, and floated the idea that</w:t>
      </w:r>
      <w:r>
        <w:t xml:space="preserve"> </w:t>
      </w:r>
      <w:r>
        <w:t xml:space="preserve">“</w:t>
      </w:r>
      <w:r>
        <w:t xml:space="preserve">they must have been waiting on him when he came back in from outside,</w:t>
      </w:r>
      <w:r>
        <w:t xml:space="preserve">”</w:t>
      </w:r>
      <w:r>
        <w:t xml:space="preserve"> </w:t>
      </w:r>
      <w:r>
        <w:t xml:space="preserve">conjuring</w:t>
      </w:r>
      <w:r>
        <w:t xml:space="preserve"> </w:t>
      </w:r>
      <w:r>
        <w:t xml:space="preserve">a phantom intruder. To an investigator she gave three separate accounts in</w:t>
      </w:r>
      <w:r>
        <w:t xml:space="preserve"> </w:t>
      </w:r>
      <w:r>
        <w:t xml:space="preserve">sequence: first that she heard a gunshot and found him shot; then that she had</w:t>
      </w:r>
      <w:r>
        <w:t xml:space="preserve"> </w:t>
      </w:r>
      <w:r>
        <w:t xml:space="preserve">carried the gun into the room, set it by the loveseat arm near his head, and seen</w:t>
      </w:r>
      <w:r>
        <w:t xml:space="preserve"> </w:t>
      </w:r>
      <w:r>
        <w:t xml:space="preserve">a flash; then, days later, that her husband told her to get the gun, and that she</w:t>
      </w:r>
      <w:r>
        <w:t xml:space="preserve"> </w:t>
      </w:r>
      <w:r>
        <w:t xml:space="preserve">was holding it in her left hand and fell as she sat down, and it discharged. And</w:t>
      </w:r>
      <w:r>
        <w:t xml:space="preserve"> </w:t>
      </w:r>
      <w:r>
        <w:t xml:space="preserve">at trial she abandoned all of it for a brand-new story, that their son had woken</w:t>
      </w:r>
      <w:r>
        <w:t xml:space="preserve"> </w:t>
      </w:r>
      <w:r>
        <w:t xml:space="preserve">her holding the pistol, and that she had asked him,</w:t>
      </w:r>
      <w:r>
        <w:t xml:space="preserve"> </w:t>
      </w:r>
      <w:r>
        <w:t xml:space="preserve">“</w:t>
      </w:r>
      <w:r>
        <w:t xml:space="preserve">Son, what do you want me to</w:t>
      </w:r>
      <w:r>
        <w:t xml:space="preserve"> </w:t>
      </w:r>
      <w:r>
        <w:t xml:space="preserve">do? You want me to kill your daddy?</w:t>
      </w:r>
      <w:r>
        <w:t xml:space="preserve">”</w:t>
      </w:r>
    </w:p>
    <w:p>
      <w:pPr>
        <w:pStyle w:val="BodyText"/>
      </w:pPr>
      <w:r>
        <w:t xml:space="preserve">A grieving, innocent spouse tells one story, because there is only one truth to</w:t>
      </w:r>
      <w:r>
        <w:t xml:space="preserve"> </w:t>
      </w:r>
      <w:r>
        <w:t xml:space="preserve">tell. Mary Johnson told at least six, each tailored to the objection it was meant</w:t>
      </w:r>
      <w:r>
        <w:t xml:space="preserve"> </w:t>
      </w:r>
      <w:r>
        <w:t xml:space="preserve">to answer, and one detail among them betrays the whole enterprise. At one point,</w:t>
      </w:r>
      <w:r>
        <w:t xml:space="preserve"> </w:t>
      </w:r>
      <w:r>
        <w:t xml:space="preserve">she asked a deputy how long gunshot residue remains on a person’s hands. It is not</w:t>
      </w:r>
      <w:r>
        <w:t xml:space="preserve"> </w:t>
      </w:r>
      <w:r>
        <w:t xml:space="preserve">the question of a woman trying to understand her husband’s suicide. It is the</w:t>
      </w:r>
      <w:r>
        <w:t xml:space="preserve"> </w:t>
      </w:r>
      <w:r>
        <w:t xml:space="preserve">question of a woman who knows there is residue on her hands and is trying to</w:t>
      </w:r>
      <w:r>
        <w:t xml:space="preserve"> </w:t>
      </w:r>
      <w:r>
        <w:t xml:space="preserve">find out how long she has to worry about it.</w:t>
      </w:r>
    </w:p>
    <w:p>
      <w:pPr>
        <w:pStyle w:val="BodyText"/>
      </w:pPr>
      <w:r>
        <w:t xml:space="preserve">The jury convicted Mary Alvis Johnson of murder, and in 2004 the Texas Court of</w:t>
      </w:r>
      <w:r>
        <w:t xml:space="preserve"> </w:t>
      </w:r>
      <w:r>
        <w:t xml:space="preserve">Appeals affirmed. The gun that supposedly proved a suicide had, in the end, proved</w:t>
      </w:r>
      <w:r>
        <w:t xml:space="preserve"> </w:t>
      </w:r>
      <w:r>
        <w:t xml:space="preserve">the opposite, because it had spoken in the one language a liar cannot argue with:</w:t>
      </w:r>
      <w:r>
        <w:t xml:space="preserve"> </w:t>
      </w:r>
      <w:r>
        <w:t xml:space="preserve">the distance a bullet travels, and the marks it does and does not leave.</w:t>
      </w:r>
    </w:p>
    <w:bookmarkEnd w:id="20"/>
    <w:bookmarkStart w:id="22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by three feet of empty air. A staged suicide has to obey the body</w:t>
      </w:r>
      <w:r>
        <w:t xml:space="preserve"> </w:t>
      </w:r>
      <w:r>
        <w:t xml:space="preserve">of the victim, and the body keeps records the stager cannot forge: the scorch of a</w:t>
      </w:r>
      <w:r>
        <w:t xml:space="preserve"> </w:t>
      </w:r>
      <w:r>
        <w:t xml:space="preserve">close shot, the clean skin of a distant one. Jerry Johnson’s wound said the gun</w:t>
      </w:r>
      <w:r>
        <w:t xml:space="preserve"> </w:t>
      </w:r>
      <w:r>
        <w:t xml:space="preserve">had been three feet away when it fired, and a man’s arm is not three feet long, so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suicide</w:t>
      </w:r>
      <w:r>
        <w:t xml:space="preserve">”</w:t>
      </w:r>
      <w:r>
        <w:t xml:space="preserve"> </w:t>
      </w:r>
      <w:r>
        <w:t xml:space="preserve">was a physical impossibility from the moment the pathologist looked</w:t>
      </w:r>
      <w:r>
        <w:t xml:space="preserve"> </w:t>
      </w:r>
      <w:r>
        <w:t xml:space="preserve">at the entrance wound. Everything Mary Johnson said afterward only dug the hole</w:t>
      </w:r>
      <w:r>
        <w:t xml:space="preserve"> </w:t>
      </w:r>
      <w:r>
        <w:t xml:space="preserve">deeper, six shifting stories where an innocent woman would have had one, and a</w:t>
      </w:r>
      <w:r>
        <w:t xml:space="preserve"> </w:t>
      </w:r>
      <w:r>
        <w:t xml:space="preserve">whispered question about how long residue lasts that told the police exactly whose</w:t>
      </w:r>
      <w:r>
        <w:t xml:space="preserve"> </w:t>
      </w:r>
      <w:r>
        <w:t xml:space="preserve">hands to test. She tried to write a death as self-inflicted. The wound refused to</w:t>
      </w:r>
      <w:r>
        <w:t xml:space="preserve"> </w:t>
      </w:r>
      <w:r>
        <w:t xml:space="preserve">cooperate, and so did she.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Johnson v. State</w:t>
      </w:r>
      <w:r>
        <w:t xml:space="preserve"> </w:t>
      </w:r>
      <w:r>
        <w:t xml:space="preserve">(Mary Alvis Johnson), No.</w:t>
      </w:r>
      <w:r>
        <w:t xml:space="preserve"> </w:t>
      </w:r>
      <w:r>
        <w:t xml:space="preserve">06-03-00235-CR (Tex. App.-Texarkana 2004), Texas Sixth Court of Appeals.</w:t>
      </w:r>
      <w:r>
        <w:t xml:space="preserve"> </w:t>
      </w:r>
      <w:r>
        <w:t xml:space="preserve">Free online:</w:t>
      </w:r>
      <w:r>
        <w:t xml:space="preserve"> </w:t>
      </w:r>
      <w:hyperlink r:id="rId21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opinion sets out the muzzle-distance and residue evidence establishing the</w:t>
      </w:r>
      <w:r>
        <w:t xml:space="preserve"> </w:t>
      </w:r>
      <w:r>
        <w:t xml:space="preserve">shot could not have been self-inflicted, and catalogs Mary Johnson’s many</w:t>
      </w:r>
      <w:r>
        <w:t xml:space="preserve"> </w:t>
      </w:r>
      <w:r>
        <w:t xml:space="preserve">conflicting statements, including her question about how long gunshot residue</w:t>
      </w:r>
      <w:r>
        <w:t xml:space="preserve"> </w:t>
      </w:r>
      <w:r>
        <w:t xml:space="preserve">lasts. (Citation note: this is a memorandum opinion,</w:t>
      </w:r>
      <w:r>
        <w:t xml:space="preserve"> </w:t>
      </w:r>
      <w:r>
        <w:rPr>
          <w:iCs/>
          <w:i/>
        </w:rPr>
        <w:t xml:space="preserve">not designated for</w:t>
      </w:r>
      <w:r>
        <w:rPr>
          <w:iCs/>
          <w:i/>
        </w:rPr>
        <w:t xml:space="preserve"> </w:t>
      </w:r>
      <w:r>
        <w:rPr>
          <w:iCs/>
          <w:i/>
        </w:rPr>
        <w:t xml:space="preserve">publication</w:t>
      </w:r>
      <w:r>
        <w:t xml:space="preserve">, so there is no S.W.3d reporter page; cite it as</w:t>
      </w:r>
      <w:r>
        <w:t xml:space="preserve"> </w:t>
      </w:r>
      <w:r>
        <w:rPr>
          <w:iCs/>
          <w:i/>
        </w:rPr>
        <w:t xml:space="preserve">Johnson v. State</w:t>
      </w:r>
      <w:r>
        <w:t xml:space="preserve">,</w:t>
      </w:r>
      <w:r>
        <w:t xml:space="preserve"> </w:t>
      </w:r>
      <w:r>
        <w:t xml:space="preserve">No. 06-03-00235-CR, 2004 WL ______ (Tex. App.-Texarkana Aug. 12, 2004, no pet.)</w:t>
      </w:r>
      <w:r>
        <w:t xml:space="preserve"> </w:t>
      </w:r>
      <w:r>
        <w:t xml:space="preserve">(mem. op.), and pull the exact Westlaw number before print.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cite</w:t>
      </w:r>
      <w:r>
        <w:t xml:space="preserve"> </w:t>
      </w:r>
      <w:r>
        <w:t xml:space="preserve">“</w:t>
      </w:r>
      <w:r>
        <w:t xml:space="preserve">151</w:t>
      </w:r>
      <w:r>
        <w:t xml:space="preserve"> </w:t>
      </w:r>
      <w:r>
        <w:t xml:space="preserve">S.W.3d 193</w:t>
      </w:r>
      <w:r>
        <w:t xml:space="preserve">”</w:t>
      </w:r>
      <w:r>
        <w:t xml:space="preserve"> </w:t>
      </w:r>
      <w:r>
        <w:t xml:space="preserve">- that is a different defendant, Keithen Oneal Johnson.)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aw.justia.com/cases/texas/sixth-court-of-appeals/2004/735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law.justia.com/cases/texas/sixth-court-of-appeals/2004/735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