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hapter-38---the-word-of-men-behind-bars"/>
    <w:p>
      <w:pPr>
        <w:pStyle w:val="Heading1"/>
      </w:pPr>
      <w:r>
        <w:t xml:space="preserve">Chapter 38 - The Word of Men Behind Bars</w:t>
      </w:r>
    </w:p>
    <w:p>
      <w:pPr>
        <w:pStyle w:val="FirstParagraph"/>
      </w:pPr>
      <w:r>
        <w:rPr>
          <w:bCs/>
          <w:b/>
        </w:rPr>
        <w:t xml:space="preserve">Only two adults had access to the child who died in her crib. The physical evidence</w:t>
      </w:r>
      <w:r>
        <w:rPr>
          <w:bCs/>
          <w:b/>
        </w:rPr>
        <w:t xml:space="preserve"> </w:t>
      </w:r>
      <w:r>
        <w:rPr>
          <w:bCs/>
          <w:b/>
        </w:rPr>
        <w:t xml:space="preserve">pointed hard at one of them. But the words that helped convict him came from two</w:t>
      </w:r>
      <w:r>
        <w:rPr>
          <w:bCs/>
          <w:b/>
        </w:rPr>
        <w:t xml:space="preserve"> </w:t>
      </w:r>
      <w:r>
        <w:rPr>
          <w:bCs/>
          <w:b/>
        </w:rPr>
        <w:t xml:space="preserve">career informants behind bars, and that is the most dangerous evidence in this</w:t>
      </w:r>
      <w:r>
        <w:rPr>
          <w:bCs/>
          <w:b/>
        </w:rPr>
        <w:t xml:space="preserve"> </w:t>
      </w:r>
      <w:r>
        <w:rPr>
          <w:bCs/>
          <w:b/>
        </w:rPr>
        <w:t xml:space="preserve">book.</w:t>
      </w:r>
    </w:p>
    <w:p>
      <w:pPr>
        <w:pStyle w:val="BodyText"/>
      </w:pPr>
      <w:r>
        <w:t xml:space="preserve">A nineteen-month-old girl named Samantha Johnings was murdered in her crib. She was</w:t>
      </w:r>
      <w:r>
        <w:t xml:space="preserve"> </w:t>
      </w:r>
      <w:r>
        <w:t xml:space="preserve">found wrapped in a green comforter, and the injuries on her small body were terrible;</w:t>
      </w:r>
      <w:r>
        <w:t xml:space="preserve"> </w:t>
      </w:r>
      <w:r>
        <w:t xml:space="preserve">this is not a chapter that will describe them for effect. On the night she died, only</w:t>
      </w:r>
      <w:r>
        <w:t xml:space="preserve"> </w:t>
      </w:r>
      <w:r>
        <w:t xml:space="preserve">two adults had access to her: her mother, and her mother’s partner, Frederick Brooks.</w:t>
      </w:r>
      <w:r>
        <w:t xml:space="preserve"> </w:t>
      </w:r>
      <w:r>
        <w:t xml:space="preserve">There is no lightness to be found anywhere in this case, and none will be attempted.</w:t>
      </w:r>
      <w:r>
        <w:t xml:space="preserve"> </w:t>
      </w:r>
      <w:r>
        <w:t xml:space="preserve">It is here because it teaches, more sharply than any other, both the power and the</w:t>
      </w:r>
      <w:r>
        <w:t xml:space="preserve"> </w:t>
      </w:r>
      <w:r>
        <w:t xml:space="preserve">peril of a killer’s own words, and of the men who claim to have heard them.</w:t>
      </w:r>
    </w:p>
    <w:bookmarkStart w:id="20" w:name="what-the-apartment-kept"/>
    <w:p>
      <w:pPr>
        <w:pStyle w:val="Heading2"/>
      </w:pPr>
      <w:r>
        <w:t xml:space="preserve">What the apartment kept</w:t>
      </w:r>
    </w:p>
    <w:p>
      <w:pPr>
        <w:pStyle w:val="FirstParagraph"/>
      </w:pPr>
      <w:r>
        <w:t xml:space="preserve">The physical evidence did not depend on anyone’s testimony. Brooks’s grey track pants</w:t>
      </w:r>
      <w:r>
        <w:t xml:space="preserve"> </w:t>
      </w:r>
      <w:r>
        <w:t xml:space="preserve">were recovered from the apartment, and they were stained with three things at once:</w:t>
      </w:r>
      <w:r>
        <w:t xml:space="preserve"> </w:t>
      </w:r>
      <w:r>
        <w:t xml:space="preserve">semen, blood of the same type as the murdered child, and a juice substance similar to</w:t>
      </w:r>
      <w:r>
        <w:t xml:space="preserve"> </w:t>
      </w:r>
      <w:r>
        <w:t xml:space="preserve">what was in her bottle. On the way to the hospital the morning after, Brooks leaned</w:t>
      </w:r>
      <w:r>
        <w:t xml:space="preserve"> </w:t>
      </w:r>
      <w:r>
        <w:t xml:space="preserve">toward the child’s mother and whispered, three times, that he was sorry. He made other</w:t>
      </w:r>
      <w:r>
        <w:t xml:space="preserve"> </w:t>
      </w:r>
      <w:r>
        <w:t xml:space="preserve">statements the Crown treated as admissions of guilt. The forensic picture, the access,</w:t>
      </w:r>
      <w:r>
        <w:t xml:space="preserve"> </w:t>
      </w:r>
      <w:r>
        <w:t xml:space="preserve">the stained clothing, the whispered apology, all of it pointed in one direction.</w:t>
      </w:r>
    </w:p>
    <w:p>
      <w:pPr>
        <w:pStyle w:val="BodyText"/>
      </w:pPr>
      <w:r>
        <w:t xml:space="preserve">That is the backdrop against which the contested evidence has to be understood,</w:t>
      </w:r>
      <w:r>
        <w:t xml:space="preserve"> </w:t>
      </w:r>
      <w:r>
        <w:t xml:space="preserve">because the physical proof was strong on its own. What made Brooks’s case travel all</w:t>
      </w:r>
      <w:r>
        <w:t xml:space="preserve"> </w:t>
      </w:r>
      <w:r>
        <w:t xml:space="preserve">the way to the Supreme Court of Canada was not the track pants. It was two other men.</w:t>
      </w:r>
    </w:p>
    <w:bookmarkEnd w:id="20"/>
    <w:bookmarkStart w:id="21" w:name="the-two-men-from-the-cells"/>
    <w:p>
      <w:pPr>
        <w:pStyle w:val="Heading2"/>
      </w:pPr>
      <w:r>
        <w:t xml:space="preserve">The two men from the cells</w:t>
      </w:r>
    </w:p>
    <w:p>
      <w:pPr>
        <w:pStyle w:val="FirstParagraph"/>
      </w:pPr>
      <w:r>
        <w:t xml:space="preserve">The Crown also called two jailhouse informants, Stephen Balogh and Albert King, who</w:t>
      </w:r>
      <w:r>
        <w:t xml:space="preserve"> </w:t>
      </w:r>
      <w:r>
        <w:t xml:space="preserve">told the jury that Brooks had, in effect, incriminated himself to them behind bars.</w:t>
      </w:r>
      <w:r>
        <w:t xml:space="preserve"> </w:t>
      </w:r>
      <w:r>
        <w:t xml:space="preserve">The trial judge described them, without much varnish, as men of unsavory character.</w:t>
      </w:r>
      <w:r>
        <w:t xml:space="preserve"> </w:t>
      </w:r>
      <w:r>
        <w:t xml:space="preserve">And there lies the oldest problem in the criminal law’s relationship with</w:t>
      </w:r>
      <w:r>
        <w:t xml:space="preserve"> </w:t>
      </w:r>
      <w:r>
        <w:t xml:space="preserve">confessions.</w:t>
      </w:r>
    </w:p>
    <w:p>
      <w:pPr>
        <w:pStyle w:val="BodyText"/>
      </w:pPr>
      <w:r>
        <w:t xml:space="preserve">A jailhouse informant is a witness with a motive baked into his very situation. He is</w:t>
      </w:r>
      <w:r>
        <w:t xml:space="preserve"> </w:t>
      </w:r>
      <w:r>
        <w:t xml:space="preserve">already in custody; he often has charges or a sentence of his own to worry about; and</w:t>
      </w:r>
      <w:r>
        <w:t xml:space="preserve"> </w:t>
      </w:r>
      <w:r>
        <w:t xml:space="preserve">he knows, as everyone in the system knows, that delivering another man’s confession to</w:t>
      </w:r>
      <w:r>
        <w:t xml:space="preserve"> </w:t>
      </w:r>
      <w:r>
        <w:t xml:space="preserve">the Crown is a currency that can buy leniency. That does not make every jailhouse</w:t>
      </w:r>
      <w:r>
        <w:t xml:space="preserve"> </w:t>
      </w:r>
      <w:r>
        <w:t xml:space="preserve">informant a liar. It does mean that his account is exactly the kind of evidence a jury</w:t>
      </w:r>
      <w:r>
        <w:t xml:space="preserve"> </w:t>
      </w:r>
      <w:r>
        <w:t xml:space="preserve">must be warned to handle with extreme care, because a man with a reason to invent a</w:t>
      </w:r>
      <w:r>
        <w:t xml:space="preserve"> </w:t>
      </w:r>
      <w:r>
        <w:t xml:space="preserve">confession is a man who sometimes invents one. Canadian law has a name for that</w:t>
      </w:r>
      <w:r>
        <w:t xml:space="preserve"> </w:t>
      </w:r>
      <w:r>
        <w:t xml:space="preserve">caution, a Vetrovec warning, a clear, sharp instruction from the judge that the jury</w:t>
      </w:r>
      <w:r>
        <w:t xml:space="preserve"> </w:t>
      </w:r>
      <w:r>
        <w:t xml:space="preserve">should regard such a witness’s testimony with great suspicion and look for</w:t>
      </w:r>
      <w:r>
        <w:t xml:space="preserve"> </w:t>
      </w:r>
      <w:r>
        <w:t xml:space="preserve">independent confirmation before relying on it.</w:t>
      </w:r>
    </w:p>
    <w:p>
      <w:pPr>
        <w:pStyle w:val="BodyText"/>
      </w:pPr>
      <w:r>
        <w:t xml:space="preserve">In Brooks’s trial, the judge did not give the crisp, standalone version of that</w:t>
      </w:r>
      <w:r>
        <w:t xml:space="preserve"> </w:t>
      </w:r>
      <w:r>
        <w:t xml:space="preserve">warning, and that omission became the whole appeal. The Ontario Court of Appeal, by a</w:t>
      </w:r>
      <w:r>
        <w:t xml:space="preserve"> </w:t>
      </w:r>
      <w:r>
        <w:t xml:space="preserve">majority, ordered a new trial, holding that the jury should have been squarely warned</w:t>
      </w:r>
      <w:r>
        <w:t xml:space="preserve"> </w:t>
      </w:r>
      <w:r>
        <w:t xml:space="preserve">about the informants. When the case reached the Supreme Court of Canada in 2000, the</w:t>
      </w:r>
      <w:r>
        <w:t xml:space="preserve"> </w:t>
      </w:r>
      <w:r>
        <w:t xml:space="preserve">Court split, closely and revealingly, on that single question. A majority concluded</w:t>
      </w:r>
      <w:r>
        <w:t xml:space="preserve"> </w:t>
      </w:r>
      <w:r>
        <w:t xml:space="preserve">that the charge as a whole, taken with the strength of the other evidence, was enough,</w:t>
      </w:r>
      <w:r>
        <w:t xml:space="preserve"> </w:t>
      </w:r>
      <w:r>
        <w:t xml:space="preserve">that the trial judge’s failure to give a textbook Vetrovec warning was not a legal</w:t>
      </w:r>
      <w:r>
        <w:t xml:space="preserve"> </w:t>
      </w:r>
      <w:r>
        <w:t xml:space="preserve">error requiring a new trial, and it restored Brooks’s conviction. A dissent of three</w:t>
      </w:r>
      <w:r>
        <w:t xml:space="preserve"> </w:t>
      </w:r>
      <w:r>
        <w:t xml:space="preserve">judges disagreed pointedly, and would have upheld the order for a new trial, precisely</w:t>
      </w:r>
      <w:r>
        <w:t xml:space="preserve"> </w:t>
      </w:r>
      <w:r>
        <w:t xml:space="preserve">because the danger of unwarned jailhouse-informant evidence is too grave to excuse.</w:t>
      </w:r>
    </w:p>
    <w:p>
      <w:pPr>
        <w:pStyle w:val="BodyText"/>
      </w:pPr>
      <w:r>
        <w:t xml:space="preserve">That the country’s highest court divided on whether the jury was adequately cautioned</w:t>
      </w:r>
      <w:r>
        <w:t xml:space="preserve"> </w:t>
      </w:r>
      <w:r>
        <w:t xml:space="preserve">tells you everything about how treacherous this evidence is. The conviction stood, in</w:t>
      </w:r>
      <w:r>
        <w:t xml:space="preserve"> </w:t>
      </w:r>
      <w:r>
        <w:t xml:space="preserve">the end, because the physical proof was powerful and the charge, read fairly, conveyed</w:t>
      </w:r>
      <w:r>
        <w:t xml:space="preserve"> </w:t>
      </w:r>
      <w:r>
        <w:t xml:space="preserve">the danger. But the closeness of the vote is the lesson.</w:t>
      </w:r>
    </w:p>
    <w:bookmarkEnd w:id="21"/>
    <w:bookmarkStart w:id="23" w:name="X82427c45c479a79e49a39905b95faf47c3047f0"/>
    <w:p>
      <w:pPr>
        <w:pStyle w:val="Heading2"/>
      </w:pPr>
      <w:r>
        <w:t xml:space="preserve">How’d he get caught, and what should we take from it?</w:t>
      </w:r>
    </w:p>
    <w:p>
      <w:pPr>
        <w:pStyle w:val="FirstParagraph"/>
      </w:pPr>
      <w:r>
        <w:t xml:space="preserve">He was caught, first and most reliably, by what the apartment kept: track pants</w:t>
      </w:r>
      <w:r>
        <w:t xml:space="preserve"> </w:t>
      </w:r>
      <w:r>
        <w:t xml:space="preserve">carrying the child’s blood type, her bottle’s juice, and his own semen, and a</w:t>
      </w:r>
      <w:r>
        <w:t xml:space="preserve"> </w:t>
      </w:r>
      <w:r>
        <w:t xml:space="preserve">whispered apology repeated three times to her grieving mother. That evidence needed no</w:t>
      </w:r>
      <w:r>
        <w:t xml:space="preserve"> </w:t>
      </w:r>
      <w:r>
        <w:t xml:space="preserve">informant to speak for it. The words of the two men from the cells were added to the</w:t>
      </w:r>
      <w:r>
        <w:t xml:space="preserve"> </w:t>
      </w:r>
      <w:r>
        <w:t xml:space="preserve">pile, and they are the reason this case is remembered, not because they were the</w:t>
      </w:r>
      <w:r>
        <w:t xml:space="preserve"> </w:t>
      </w:r>
      <w:r>
        <w:t xml:space="preserve">strongest proof but because they were the most dangerous. Jailhouse informants sit at</w:t>
      </w:r>
      <w:r>
        <w:t xml:space="preserve"> </w:t>
      </w:r>
      <w:r>
        <w:t xml:space="preserve">the exact fault line of this part of the book: a killer’s own confession is the most</w:t>
      </w:r>
      <w:r>
        <w:t xml:space="preserve"> </w:t>
      </w:r>
      <w:r>
        <w:t xml:space="preserve">compelling evidence there is, and a stranger’s claim to have heard that confession,</w:t>
      </w:r>
      <w:r>
        <w:t xml:space="preserve"> </w:t>
      </w:r>
      <w:r>
        <w:t xml:space="preserve">delivered by someone with every reason to invent it, is the most easily faked. The</w:t>
      </w:r>
      <w:r>
        <w:t xml:space="preserve"> </w:t>
      </w:r>
      <w:r>
        <w:t xml:space="preserve">Supreme Court restored Brooks’s conviction, but only after splitting over whether his</w:t>
      </w:r>
      <w:r>
        <w:t xml:space="preserve"> </w:t>
      </w:r>
      <w:r>
        <w:t xml:space="preserve">jury had been warned sharply enough about the men who claimed he had talked. Take that</w:t>
      </w:r>
      <w:r>
        <w:t xml:space="preserve"> </w:t>
      </w:r>
      <w:r>
        <w:t xml:space="preserve">as the caution it is. The word of a killer can hang him. The word of a man who says he</w:t>
      </w:r>
      <w:r>
        <w:t xml:space="preserve"> </w:t>
      </w:r>
      <w:r>
        <w:t xml:space="preserve">heard a killer must always be weighed with a hand on the scale.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R. v. Brooks</w:t>
      </w:r>
      <w:r>
        <w:t xml:space="preserve">, 2000 SCC 11, [2000] 1 S.C.R. 237,</w:t>
      </w:r>
      <w:r>
        <w:t xml:space="preserve"> </w:t>
      </w:r>
      <w:r>
        <w:t xml:space="preserve">Supreme Court of Canada.</w:t>
      </w:r>
      <w:r>
        <w:t xml:space="preserve"> </w:t>
      </w:r>
      <w:r>
        <w:t xml:space="preserve">Free online:</w:t>
      </w:r>
      <w:r>
        <w:t xml:space="preserve"> </w:t>
      </w:r>
      <w:hyperlink r:id="rId22">
        <w:r>
          <w:rPr>
            <w:rStyle w:val="Hyperlink"/>
          </w:rPr>
          <w:t xml:space="preserve">CanLII</w:t>
        </w:r>
      </w:hyperlink>
      <w:r>
        <w:t xml:space="preserve">.</w:t>
      </w:r>
      <w:r>
        <w:t xml:space="preserve"> </w:t>
      </w:r>
      <w:r>
        <w:t xml:space="preserve">The physical evidence (the semen-, blood-, and juice-stained track pants and the</w:t>
      </w:r>
      <w:r>
        <w:t xml:space="preserve"> </w:t>
      </w:r>
      <w:r>
        <w:t xml:space="preserve">whispered apologies), the two jailhouse informants, and the closely divided ruling</w:t>
      </w:r>
      <w:r>
        <w:t xml:space="preserve"> </w:t>
      </w:r>
      <w:r>
        <w:t xml:space="preserve">on whether a Vetrovec warning was required, with the majority restoring the</w:t>
      </w:r>
      <w:r>
        <w:t xml:space="preserve"> </w:t>
      </w:r>
      <w:r>
        <w:t xml:space="preserve">conviction and a three-judge dissent that would have ordered a new trial, are set</w:t>
      </w:r>
      <w:r>
        <w:t xml:space="preserve"> </w:t>
      </w:r>
      <w:r>
        <w:t xml:space="preserve">out in the reasons.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www.canlii.org/en/ca/scc/doc/2000/2000scc11/2000scc11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www.canlii.org/en/ca/scc/doc/2000/2000scc11/2000scc11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2026-07-09T23:44:17Z</dcterms:created>
  <dcterms:modified xsi:type="dcterms:W3CDTF">2026-07-09T23:44:17Z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