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58002ca02448356755196d87203e85c6cf932e"/>
    <w:p>
      <w:pPr>
        <w:pStyle w:val="Heading1"/>
      </w:pPr>
      <w:r>
        <w:t xml:space="preserve">Chapter 21 - Don’t Murder a Woman Wearing a Fitbit</w:t>
      </w:r>
    </w:p>
    <w:p>
      <w:pPr>
        <w:pStyle w:val="FirstParagraph"/>
      </w:pPr>
      <w:r>
        <w:rPr>
          <w:bCs/>
          <w:b/>
        </w:rPr>
        <w:t xml:space="preserve">Her husband told police she was already dead. Her Fitbit kept counting.</w:t>
      </w:r>
    </w:p>
    <w:p>
      <w:pPr>
        <w:pStyle w:val="BodyText"/>
      </w:pPr>
      <w:r>
        <w:t xml:space="preserve">Two days before Christmas 2015, Richard Dabate had a story ready.</w:t>
      </w:r>
    </w:p>
    <w:p>
      <w:pPr>
        <w:pStyle w:val="BodyText"/>
      </w:pPr>
      <w:r>
        <w:t xml:space="preserve">A man in camouflage, he told Connecticut State Police, had been hiding inside</w:t>
      </w:r>
      <w:r>
        <w:t xml:space="preserve"> </w:t>
      </w:r>
      <w:r>
        <w:t xml:space="preserve">his Ellington home. The intruder chased his wife Connie into the basement and</w:t>
      </w:r>
      <w:r>
        <w:t xml:space="preserve"> </w:t>
      </w:r>
      <w:r>
        <w:t xml:space="preserve">shot her with the Dabates’ own gun. Then he turned on Richard, zip-tying him to</w:t>
      </w:r>
      <w:r>
        <w:t xml:space="preserve"> </w:t>
      </w:r>
      <w:r>
        <w:t xml:space="preserve">a folding chair, cutting him with a box cutter, burning him with a blowtorch,</w:t>
      </w:r>
      <w:r>
        <w:t xml:space="preserve"> </w:t>
      </w:r>
      <w:r>
        <w:t xml:space="preserve">until Richard heroically shoved the torch back toward the man’s face and drove</w:t>
      </w:r>
      <w:r>
        <w:t xml:space="preserve"> </w:t>
      </w:r>
      <w:r>
        <w:t xml:space="preserve">him off. Bleeding, bound, he triggered the home’s panic alarm and called 911.</w:t>
      </w:r>
    </w:p>
    <w:p>
      <w:pPr>
        <w:pStyle w:val="BodyText"/>
      </w:pPr>
      <w:r>
        <w:t xml:space="preserve">When officers arrived they found Connie’s body in the basement. They found the</w:t>
      </w:r>
      <w:r>
        <w:t xml:space="preserve"> </w:t>
      </w:r>
      <w:r>
        <w:t xml:space="preserve">gun. They found a butane torch, a box cutter, burnt debris, droplets of blood.</w:t>
      </w:r>
    </w:p>
    <w:p>
      <w:pPr>
        <w:pStyle w:val="BodyText"/>
      </w:pPr>
      <w:r>
        <w:t xml:space="preserve">They found, in other words, exactly the scene Richard had described.</w:t>
      </w:r>
    </w:p>
    <w:p>
      <w:pPr>
        <w:pStyle w:val="BodyText"/>
      </w:pPr>
      <w:r>
        <w:t xml:space="preserve">The problem was everything the scene couldn’t say, and one device that could.</w:t>
      </w:r>
    </w:p>
    <w:bookmarkStart w:id="20" w:name="X7b11d94e34298c01d860c15ea739cb0dfca6508"/>
    <w:p>
      <w:pPr>
        <w:pStyle w:val="Heading2"/>
      </w:pPr>
      <w:r>
        <w:t xml:space="preserve">The morning, as the machines remembered it</w:t>
      </w:r>
    </w:p>
    <w:p>
      <w:pPr>
        <w:pStyle w:val="FirstParagraph"/>
      </w:pPr>
      <w:r>
        <w:t xml:space="preserve">Here is the morning of December 23, 2015, as the jury ultimately found it; not</w:t>
      </w:r>
      <w:r>
        <w:t xml:space="preserve"> </w:t>
      </w:r>
      <w:r>
        <w:t xml:space="preserve">from any witness, but from the electronic wake the household left behind.</w:t>
      </w:r>
    </w:p>
    <w:p>
      <w:pPr>
        <w:pStyle w:val="BodyText"/>
      </w:pPr>
      <w:r>
        <w:t xml:space="preserve">Connie Dabate left for the gym at 8:46 a.m. Her class was cancelled, so she came</w:t>
      </w:r>
      <w:r>
        <w:t xml:space="preserve"> </w:t>
      </w:r>
      <w:r>
        <w:t xml:space="preserve">home at 9:18. She talked to her mother on the phone. She posted on Facebook. She</w:t>
      </w:r>
      <w:r>
        <w:t xml:space="preserve"> </w:t>
      </w:r>
      <w:r>
        <w:t xml:space="preserve">messaged a friend. An ordinary woman, running an ordinary errand, two days</w:t>
      </w:r>
      <w:r>
        <w:t xml:space="preserve"> </w:t>
      </w:r>
      <w:r>
        <w:t xml:space="preserve">before Christmas.</w:t>
      </w:r>
    </w:p>
    <w:p>
      <w:pPr>
        <w:pStyle w:val="BodyText"/>
      </w:pPr>
      <w:r>
        <w:t xml:space="preserve">Richard never left the house. In those same quiet morning hours, the home’s own</w:t>
      </w:r>
      <w:r>
        <w:t xml:space="preserve"> </w:t>
      </w:r>
      <w:r>
        <w:t xml:space="preserve">records caught him opening the basement door</w:t>
      </w:r>
      <w:r>
        <w:t xml:space="preserve"> </w:t>
      </w:r>
      <w:r>
        <w:rPr>
          <w:iCs/>
          <w:i/>
        </w:rPr>
        <w:t xml:space="preserve">eight times</w:t>
      </w:r>
      <w:r>
        <w:t xml:space="preserve">. Arming and</w:t>
      </w:r>
      <w:r>
        <w:t xml:space="preserve"> </w:t>
      </w:r>
      <w:r>
        <w:t xml:space="preserve">disarming the security system, again and again. At some point he walked outside</w:t>
      </w:r>
      <w:r>
        <w:t xml:space="preserve"> </w:t>
      </w:r>
      <w:r>
        <w:t xml:space="preserve">and placed his own wallet near the basement bulkhead stairs, set dressing for</w:t>
      </w:r>
      <w:r>
        <w:t xml:space="preserve"> </w:t>
      </w:r>
      <w:r>
        <w:t xml:space="preserve">the burglary to come. In between, he answered work emails and played music on</w:t>
      </w:r>
      <w:r>
        <w:t xml:space="preserve"> </w:t>
      </w:r>
      <w:r>
        <w:t xml:space="preserve">his phone. When he heard Connie come home earlier than he expected, he did</w:t>
      </w:r>
      <w:r>
        <w:t xml:space="preserve"> </w:t>
      </w:r>
      <w:r>
        <w:t xml:space="preserve">something almost unbearably mundane: he checked the gym schedule.</w:t>
      </w:r>
    </w:p>
    <w:p>
      <w:pPr>
        <w:pStyle w:val="BodyText"/>
      </w:pPr>
      <w:r>
        <w:t xml:space="preserve">At 10:05 a.m., he lured his wife down to the basement and shot her with a</w:t>
      </w:r>
      <w:r>
        <w:t xml:space="preserve"> </w:t>
      </w:r>
      <w:r>
        <w:t xml:space="preserve">pistol the couple had bought only two months earlier.</w:t>
      </w:r>
    </w:p>
    <w:p>
      <w:pPr>
        <w:pStyle w:val="BodyText"/>
      </w:pPr>
      <w:r>
        <w:t xml:space="preserve">We can put a time on it because Connie was wearing a Fitbit One clipped to her</w:t>
      </w:r>
      <w:r>
        <w:t xml:space="preserve"> </w:t>
      </w:r>
      <w:r>
        <w:t xml:space="preserve">hip, a device that does exactly one thing, tirelessly: it counts its wearer’s</w:t>
      </w:r>
      <w:r>
        <w:t xml:space="preserve"> </w:t>
      </w:r>
      <w:r>
        <w:t xml:space="preserve">steps, minute by minute. At 10:05 a.m., it stopped.</w:t>
      </w:r>
    </w:p>
    <w:bookmarkEnd w:id="20"/>
    <w:bookmarkStart w:id="21" w:name="Xe67b992d38f8a0f7b4654d7ff9a0bd5ed378ef7"/>
    <w:p>
      <w:pPr>
        <w:pStyle w:val="Heading2"/>
      </w:pPr>
      <w:r>
        <w:t xml:space="preserve">The story that couldn’t survive its own timeline</w:t>
      </w:r>
    </w:p>
    <w:p>
      <w:pPr>
        <w:pStyle w:val="FirstParagraph"/>
      </w:pPr>
      <w:r>
        <w:t xml:space="preserve">Richard’s account put a masked killer in the house while Connie fled for her</w:t>
      </w:r>
      <w:r>
        <w:t xml:space="preserve"> </w:t>
      </w:r>
      <w:r>
        <w:t xml:space="preserve">life. But her Fitbit, together with her Facebook activity, showed the jury</w:t>
      </w:r>
      <w:r>
        <w:t xml:space="preserve"> </w:t>
      </w:r>
      <w:r>
        <w:t xml:space="preserve">something devastating: Connie was alive, moving, posting, messaging,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point where Richard’s story needed her to be dead. As the Connecticut</w:t>
      </w:r>
      <w:r>
        <w:t xml:space="preserve"> </w:t>
      </w:r>
      <w:r>
        <w:t xml:space="preserve">Supreme Court later put it, the electronic evidence</w:t>
      </w:r>
      <w:r>
        <w:t xml:space="preserve"> </w:t>
      </w:r>
      <w:r>
        <w:t xml:space="preserve">“</w:t>
      </w:r>
      <w:r>
        <w:t xml:space="preserve">demonstrated to the jury</w:t>
      </w:r>
      <w:r>
        <w:t xml:space="preserve"> </w:t>
      </w:r>
      <w:r>
        <w:t xml:space="preserve">that the victim was alive at the time that the defendant claimed that she had</w:t>
      </w:r>
      <w:r>
        <w:t xml:space="preserve"> </w:t>
      </w:r>
      <w:r>
        <w:t xml:space="preserve">been murdered by a third party.</w:t>
      </w:r>
      <w:r>
        <w:t xml:space="preserve">”</w:t>
      </w:r>
    </w:p>
    <w:p>
      <w:pPr>
        <w:pStyle w:val="BodyText"/>
      </w:pPr>
      <w:r>
        <w:t xml:space="preserve">The rest of the case fell in behind the timeline like iron filings behind a</w:t>
      </w:r>
      <w:r>
        <w:t xml:space="preserve"> </w:t>
      </w:r>
      <w:r>
        <w:t xml:space="preserve">magnet.</w:t>
      </w:r>
    </w:p>
    <w:p>
      <w:pPr>
        <w:pStyle w:val="BodyText"/>
      </w:pPr>
      <w:r>
        <w:t xml:space="preserve">A state police canine swept the house and found no scent of any third person.</w:t>
      </w:r>
      <w:r>
        <w:t xml:space="preserve"> </w:t>
      </w:r>
      <w:r>
        <w:t xml:space="preserve">The forensic laboratory found Richard’s DNA where the intruder’s should have</w:t>
      </w:r>
      <w:r>
        <w:t xml:space="preserve"> </w:t>
      </w:r>
      <w:r>
        <w:t xml:space="preserve">been: on the basement safe, on the back of the folding chair he’d been</w:t>
      </w:r>
      <w:r>
        <w:t xml:space="preserve"> </w:t>
      </w:r>
      <w:r>
        <w:t xml:space="preserve">“</w:t>
      </w:r>
      <w:r>
        <w:t xml:space="preserve">bound</w:t>
      </w:r>
      <w:r>
        <w:t xml:space="preserve">”</w:t>
      </w:r>
      <w:r>
        <w:t xml:space="preserve"> </w:t>
      </w:r>
      <w:r>
        <w:t xml:space="preserve">to, on the handle of the gun, on the box cutter. His zip ties were tied loose.</w:t>
      </w:r>
      <w:r>
        <w:t xml:space="preserve"> </w:t>
      </w:r>
      <w:r>
        <w:t xml:space="preserve">His wounds to his thighs, chest, and a finger were the shallow geometry of</w:t>
      </w:r>
      <w:r>
        <w:t xml:space="preserve"> </w:t>
      </w:r>
      <w:r>
        <w:t xml:space="preserve">self-infliction, not torture.</w:t>
      </w:r>
    </w:p>
    <w:p>
      <w:pPr>
        <w:pStyle w:val="BodyText"/>
      </w:pPr>
      <w:r>
        <w:t xml:space="preserve">And then there was the motive, which Richard himself handed to detectives from</w:t>
      </w:r>
      <w:r>
        <w:t xml:space="preserve"> </w:t>
      </w:r>
      <w:r>
        <w:t xml:space="preserve">a bed at Hartford Hospital. For seven years he had been carrying on an affair</w:t>
      </w:r>
      <w:r>
        <w:t xml:space="preserve"> </w:t>
      </w:r>
      <w:r>
        <w:t xml:space="preserve">with a woman named Sara Ganzer. In June 2015 she became pregnant with his</w:t>
      </w:r>
      <w:r>
        <w:t xml:space="preserve"> </w:t>
      </w:r>
      <w:r>
        <w:t xml:space="preserve">child; he told her he was divorcing Connie and had already moved half his</w:t>
      </w:r>
      <w:r>
        <w:t xml:space="preserve"> </w:t>
      </w:r>
      <w:r>
        <w:t xml:space="preserve">things out. He was lying. He never called a divorce lawyer; a divorce, he</w:t>
      </w:r>
      <w:r>
        <w:t xml:space="preserve"> </w:t>
      </w:r>
      <w:r>
        <w:t xml:space="preserve">feared, would wreck him financially and detonate his family. When detectives</w:t>
      </w:r>
      <w:r>
        <w:t xml:space="preserve"> </w:t>
      </w:r>
      <w:r>
        <w:t xml:space="preserve">first asked, he floated an audacious cover story: he and Connie couldn’t have</w:t>
      </w:r>
      <w:r>
        <w:t xml:space="preserve"> </w:t>
      </w:r>
      <w:r>
        <w:t xml:space="preserve">another child, so Sara was carrying the baby as their</w:t>
      </w:r>
      <w:r>
        <w:t xml:space="preserve"> </w:t>
      </w:r>
      <w:r>
        <w:rPr>
          <w:iCs/>
          <w:i/>
        </w:rPr>
        <w:t xml:space="preserve">surrogate</w:t>
      </w:r>
      <w:r>
        <w:t xml:space="preserve">. Under</w:t>
      </w:r>
      <w:r>
        <w:t xml:space="preserve"> </w:t>
      </w:r>
      <w:r>
        <w:t xml:space="preserve">pressure, that collapsed into the truth. The detectives told him, almost</w:t>
      </w:r>
      <w:r>
        <w:t xml:space="preserve"> </w:t>
      </w:r>
      <w:r>
        <w:t xml:space="preserve">gently, that his account of the morning would be easy to check against the</w:t>
      </w:r>
      <w:r>
        <w:t xml:space="preserve"> </w:t>
      </w:r>
      <w:r>
        <w:t xml:space="preserve">electronic records. Richard asked for a lawyer.</w:t>
      </w:r>
    </w:p>
    <w:p>
      <w:pPr>
        <w:pStyle w:val="BodyText"/>
      </w:pPr>
      <w:r>
        <w:t xml:space="preserve">Sixteen months later he was arrested for murder.</w:t>
      </w:r>
    </w:p>
    <w:bookmarkEnd w:id="21"/>
    <w:bookmarkStart w:id="22" w:name="Xb2f571a3ce5b829599892b5c7bae5c141c375a5"/>
    <w:p>
      <w:pPr>
        <w:pStyle w:val="Heading2"/>
      </w:pPr>
      <w:r>
        <w:t xml:space="preserve">The science: making a step-counter testify</w:t>
      </w:r>
    </w:p>
    <w:p>
      <w:pPr>
        <w:pStyle w:val="FirstParagraph"/>
      </w:pPr>
      <w:r>
        <w:t xml:space="preserve">Getting a fitness tracker’s word into a murder trial is not automatic. Dabate’s</w:t>
      </w:r>
      <w:r>
        <w:t xml:space="preserve"> </w:t>
      </w:r>
      <w:r>
        <w:t xml:space="preserve">lawyers fought it hard, and the fight is what makes this case a landmark.</w:t>
      </w:r>
    </w:p>
    <w:p>
      <w:pPr>
        <w:pStyle w:val="BodyText"/>
      </w:pPr>
      <w:r>
        <w:t xml:space="preserve">Connecticut screens novel scientific evidence under</w:t>
      </w:r>
      <w:r>
        <w:t xml:space="preserve"> </w:t>
      </w:r>
      <w:r>
        <w:rPr>
          <w:iCs/>
          <w:i/>
        </w:rPr>
        <w:t xml:space="preserve">State v. Porter</w:t>
      </w:r>
      <w:r>
        <w:t xml:space="preserve">, its</w:t>
      </w:r>
      <w:r>
        <w:t xml:space="preserve"> </w:t>
      </w:r>
      <w:r>
        <w:t xml:space="preserve">version of the federal</w:t>
      </w:r>
      <w:r>
        <w:t xml:space="preserve"> </w:t>
      </w:r>
      <w:r>
        <w:rPr>
          <w:iCs/>
          <w:i/>
        </w:rPr>
        <w:t xml:space="preserve">Daubert</w:t>
      </w:r>
      <w:r>
        <w:t xml:space="preserve"> </w:t>
      </w:r>
      <w:r>
        <w:t xml:space="preserve">standard. Before the Fitbit data could reach</w:t>
      </w:r>
      <w:r>
        <w:t xml:space="preserve"> </w:t>
      </w:r>
      <w:r>
        <w:t xml:space="preserve">the jury, a judge had to be satisfied the technology was genuinely reliable:</w:t>
      </w:r>
      <w:r>
        <w:t xml:space="preserve"> </w:t>
      </w:r>
      <w:r>
        <w:t xml:space="preserve">tested, peer-reviewed, accepted in the scientific community, not something</w:t>
      </w:r>
      <w:r>
        <w:t xml:space="preserve"> </w:t>
      </w:r>
      <w:r>
        <w:t xml:space="preserve">cooked up for courtrooms.</w:t>
      </w:r>
    </w:p>
    <w:p>
      <w:pPr>
        <w:pStyle w:val="BodyText"/>
      </w:pPr>
      <w:r>
        <w:t xml:space="preserve">The state’s answer was Keith Diaz, a professor of behavioral medicine at</w:t>
      </w:r>
      <w:r>
        <w:t xml:space="preserve"> </w:t>
      </w:r>
      <w:r>
        <w:t xml:space="preserve">Columbia University Medical Center and director of its Wearable Device Reading</w:t>
      </w:r>
      <w:r>
        <w:t xml:space="preserve"> </w:t>
      </w:r>
      <w:r>
        <w:t xml:space="preserve">Center. Diaz had run an NIH-funded validation study of consumer fitness</w:t>
      </w:r>
      <w:r>
        <w:t xml:space="preserve"> </w:t>
      </w:r>
      <w:r>
        <w:t xml:space="preserve">trackers, and his findings were quietly remarkable: the Fitbit is</w:t>
      </w:r>
      <w:r>
        <w:t xml:space="preserve"> </w:t>
      </w:r>
      <w:r>
        <w:rPr>
          <w:iCs/>
          <w:i/>
        </w:rPr>
        <w:t xml:space="preserve">very</w:t>
      </w:r>
      <w:r>
        <w:t xml:space="preserve"> </w:t>
      </w:r>
      <w:r>
        <w:t xml:space="preserve">accurate at counting steps; more accurate, in fact, than the Actical, a</w:t>
      </w:r>
      <w:r>
        <w:t xml:space="preserve"> </w:t>
      </w:r>
      <w:r>
        <w:t xml:space="preserve">research-grade device scientists use. And it is at its most accurate when worn</w:t>
      </w:r>
      <w:r>
        <w:t xml:space="preserve"> </w:t>
      </w:r>
      <w:r>
        <w:t xml:space="preserve">on the hip.</w:t>
      </w:r>
    </w:p>
    <w:p>
      <w:pPr>
        <w:pStyle w:val="BodyText"/>
      </w:pPr>
      <w:r>
        <w:t xml:space="preserve">Connie wore hers on her hip.</w:t>
      </w:r>
    </w:p>
    <w:p>
      <w:pPr>
        <w:pStyle w:val="BodyText"/>
      </w:pPr>
      <w:r>
        <w:t xml:space="preserve">The defense’s best punch was a clever one: Diaz couldn’t explain Fitbit’s</w:t>
      </w:r>
      <w:r>
        <w:t xml:space="preserve"> </w:t>
      </w:r>
      <w:r>
        <w:t xml:space="preserve">proprietary internal algorithm, the secret code that turns raw motion into a</w:t>
      </w:r>
      <w:r>
        <w:t xml:space="preserve"> </w:t>
      </w:r>
      <w:r>
        <w:t xml:space="preserve">step count. If the expert can’t open the black box, how can the court trust</w:t>
      </w:r>
      <w:r>
        <w:t xml:space="preserve"> </w:t>
      </w:r>
      <w:r>
        <w:t xml:space="preserve">what comes out of it? The Connecticut Supreme Court’s answer will echo through</w:t>
      </w:r>
      <w:r>
        <w:t xml:space="preserve"> </w:t>
      </w:r>
      <w:r>
        <w:t xml:space="preserve">every device case to come: an expert doesn’t need the source code to prove a</w:t>
      </w:r>
      <w:r>
        <w:t xml:space="preserve"> </w:t>
      </w:r>
      <w:r>
        <w:t xml:space="preserve">machine’s output is reliable, any more than he needs Ford’s blueprints to</w:t>
      </w:r>
      <w:r>
        <w:t xml:space="preserve"> </w:t>
      </w:r>
      <w:r>
        <w:t xml:space="preserve">testify that a speedometer works. What matters is validation - testing the</w:t>
      </w:r>
      <w:r>
        <w:t xml:space="preserve"> </w:t>
      </w:r>
      <w:r>
        <w:t xml:space="preserve">device against ground truth, publishing the results, letting other scientists</w:t>
      </w:r>
      <w:r>
        <w:t xml:space="preserve"> </w:t>
      </w:r>
      <w:r>
        <w:t xml:space="preserve">tear at them.</w:t>
      </w:r>
    </w:p>
    <w:p>
      <w:pPr>
        <w:pStyle w:val="BodyText"/>
      </w:pPr>
      <w:r>
        <w:t xml:space="preserve">The jury convicted Richard Dabate of murder, tampering with evidence, and</w:t>
      </w:r>
      <w:r>
        <w:t xml:space="preserve"> </w:t>
      </w:r>
      <w:r>
        <w:t xml:space="preserve">making a false statement. He was sentenced to sixty-five years. In March 2025,</w:t>
      </w:r>
      <w:r>
        <w:t xml:space="preserve"> </w:t>
      </w:r>
      <w:r>
        <w:t xml:space="preserve">the Connecticut Supreme Court affirmed it all, even while scolding the</w:t>
      </w:r>
      <w:r>
        <w:t xml:space="preserve"> </w:t>
      </w:r>
      <w:r>
        <w:t xml:space="preserve">prosecutor for four separate instances of courtroom impropriety, including the</w:t>
      </w:r>
      <w:r>
        <w:t xml:space="preserve"> </w:t>
      </w:r>
      <w:r>
        <w:t xml:space="preserve">moment he asked Dabate whether he’d been</w:t>
      </w:r>
      <w:r>
        <w:t xml:space="preserve"> </w:t>
      </w:r>
      <w:r>
        <w:t xml:space="preserve">“</w:t>
      </w:r>
      <w:r>
        <w:t xml:space="preserve">trying to create a little mini</w:t>
      </w:r>
      <w:r>
        <w:t xml:space="preserve"> </w:t>
      </w:r>
      <w:r>
        <w:t xml:space="preserve">Cheshire scene,</w:t>
      </w:r>
      <w:r>
        <w:t xml:space="preserve">”</w:t>
      </w:r>
      <w:r>
        <w:t xml:space="preserve"> </w:t>
      </w:r>
      <w:r>
        <w:t xml:space="preserve">a forbidden reference to Connecticut’s most notorious real</w:t>
      </w:r>
      <w:r>
        <w:t xml:space="preserve"> </w:t>
      </w:r>
      <w:r>
        <w:t xml:space="preserve">home invasion. The improprieties were real, the court held; the case against</w:t>
      </w:r>
      <w:r>
        <w:t xml:space="preserve"> </w:t>
      </w:r>
      <w:r>
        <w:t xml:space="preserve">Dabate was simply overwhelming with or without them.</w:t>
      </w:r>
    </w:p>
    <w:bookmarkEnd w:id="22"/>
    <w:bookmarkStart w:id="25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staged a home invasion for an audience of police officers, and forgot the</w:t>
      </w:r>
      <w:r>
        <w:t xml:space="preserve"> </w:t>
      </w:r>
      <w:r>
        <w:t xml:space="preserve">other witnesses in the house. The security panel logged his rehearsal. Facebook</w:t>
      </w:r>
      <w:r>
        <w:t xml:space="preserve"> </w:t>
      </w:r>
      <w:r>
        <w:t xml:space="preserve">logged his wife’s final ordinary hour. And a $99 step-counter on her hip logged</w:t>
      </w:r>
      <w:r>
        <w:t xml:space="preserve"> </w:t>
      </w:r>
      <w:r>
        <w:t xml:space="preserve">the exact minute her life ended, an hour out of sync with the story her husband</w:t>
      </w:r>
      <w:r>
        <w:t xml:space="preserve"> </w:t>
      </w:r>
      <w:r>
        <w:t xml:space="preserve">was already telling. Richard Dabate built an alibi out of words. Connie’s</w:t>
      </w:r>
      <w:r>
        <w:t xml:space="preserve"> </w:t>
      </w:r>
      <w:r>
        <w:t xml:space="preserve">Fitbit outlived it.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Dabate</w:t>
      </w:r>
      <w:r>
        <w:t xml:space="preserve">, 351 Conn. 428 (2025)</w:t>
      </w:r>
      <w:r>
        <w:t xml:space="preserve"> </w:t>
      </w:r>
      <w:r>
        <w:t xml:space="preserve">(SC 20749), Connecticut Supreme Court, decided March 11, 2025.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slip opinion via the</w:t>
      </w:r>
      <w:r>
        <w:t xml:space="preserve"> </w:t>
      </w:r>
      <w:hyperlink r:id="rId24">
        <w:r>
          <w:rPr>
            <w:rStyle w:val="Hyperlink"/>
          </w:rPr>
          <w:t xml:space="preserve">Connecticut Judicial Branch</w:t>
        </w:r>
      </w:hyperlink>
      <w:r>
        <w:t xml:space="preserve">.</w:t>
      </w:r>
      <w:r>
        <w:t xml:space="preserve"> </w:t>
      </w:r>
      <w:r>
        <w:t xml:space="preserve">The factual matrix is set out at the opening of the opinion; the Fitbit</w:t>
      </w:r>
      <w:r>
        <w:t xml:space="preserve"> </w:t>
      </w:r>
      <w:r>
        <w:t xml:space="preserve">admissibility ruling is Part II.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connecticut/supreme-court/2025/sc20749.html" TargetMode="External" /><Relationship Type="http://schemas.openxmlformats.org/officeDocument/2006/relationships/hyperlink" Id="rId24" Target="https://www.jud.ct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2026-07-02T13:12:40Z</dcterms:created>
  <dcterms:modified xsi:type="dcterms:W3CDTF">2026-07-02T13:12:40Z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