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37f9fdb67c8b1aca44b27de6f5f0b80c948732"/>
    <w:p>
      <w:pPr>
        <w:pStyle w:val="Heading1"/>
      </w:pPr>
      <w:r>
        <w:t xml:space="preserve">Chapter 15 - The Cameras on the Interstate</w:t>
      </w:r>
    </w:p>
    <w:p>
      <w:pPr>
        <w:pStyle w:val="FirstParagraph"/>
      </w:pPr>
      <w:r>
        <w:rPr>
          <w:bCs/>
          <w:b/>
        </w:rPr>
        <w:t xml:space="preserve">He drove to the killings in his dead sister’s car, a black Honda with</w:t>
      </w:r>
      <w:r>
        <w:rPr>
          <w:bCs/>
          <w:b/>
        </w:rPr>
        <w:t xml:space="preserve"> </w:t>
      </w:r>
      <w:r>
        <w:rPr>
          <w:bCs/>
          <w:b/>
        </w:rPr>
        <w:t xml:space="preserve">distinctive chrome trim. It was the most recognizable vehicle he could have</w:t>
      </w:r>
      <w:r>
        <w:rPr>
          <w:bCs/>
          <w:b/>
        </w:rPr>
        <w:t xml:space="preserve"> </w:t>
      </w:r>
      <w:r>
        <w:rPr>
          <w:bCs/>
          <w:b/>
        </w:rPr>
        <w:t xml:space="preserve">chosen, and the licence-plate readers on the interstate recognized it all the</w:t>
      </w:r>
      <w:r>
        <w:rPr>
          <w:bCs/>
          <w:b/>
        </w:rPr>
        <w:t xml:space="preserve"> </w:t>
      </w:r>
      <w:r>
        <w:rPr>
          <w:bCs/>
          <w:b/>
        </w:rPr>
        <w:t xml:space="preserve">way home.</w:t>
      </w:r>
    </w:p>
    <w:p>
      <w:pPr>
        <w:pStyle w:val="BodyText"/>
      </w:pPr>
      <w:r>
        <w:t xml:space="preserve">Grief curdles, sometimes, into something murderous, and Cody LaBranche’s had. His</w:t>
      </w:r>
      <w:r>
        <w:t xml:space="preserve"> </w:t>
      </w:r>
      <w:r>
        <w:t xml:space="preserve">sister Brittany had died of a drug overdose, and LaBranche blamed the man she had</w:t>
      </w:r>
      <w:r>
        <w:t xml:space="preserve"> </w:t>
      </w:r>
      <w:r>
        <w:t xml:space="preserve">lived with, Jonathan Pizzuto, convinced Pizzuto was responsible for her death and</w:t>
      </w:r>
      <w:r>
        <w:t xml:space="preserve"> </w:t>
      </w:r>
      <w:r>
        <w:t xml:space="preserve">suspecting she had been murdered. The grievance festered, feeding on smaller</w:t>
      </w:r>
      <w:r>
        <w:t xml:space="preserve"> </w:t>
      </w:r>
      <w:r>
        <w:t xml:space="preserve">insults, disputes over Brittany’s belongings, her cremated ashes, her pets, all</w:t>
      </w:r>
      <w:r>
        <w:t xml:space="preserve"> </w:t>
      </w:r>
      <w:r>
        <w:t xml:space="preserve">still in Pizzuto’s house. In the days before the killings, the record showed</w:t>
      </w:r>
      <w:r>
        <w:t xml:space="preserve"> </w:t>
      </w:r>
      <w:r>
        <w:t xml:space="preserve">LaBranche trying again and again to contact Pizzuto.</w:t>
      </w:r>
    </w:p>
    <w:p>
      <w:pPr>
        <w:pStyle w:val="BodyText"/>
      </w:pPr>
      <w:r>
        <w:t xml:space="preserve">On January 17, 2022, the bodies of Jonathan Pizzuto and William Mitchell, a guest</w:t>
      </w:r>
      <w:r>
        <w:t xml:space="preserve"> </w:t>
      </w:r>
      <w:r>
        <w:t xml:space="preserve">who had been sleeping on Pizzuto’s sofa, were found at the house on Rosa Avenue in</w:t>
      </w:r>
      <w:r>
        <w:t xml:space="preserve"> </w:t>
      </w:r>
      <w:r>
        <w:t xml:space="preserve">Metairie, Louisiana. There were no weapons at the scene, but investigators</w:t>
      </w:r>
      <w:r>
        <w:t xml:space="preserve"> </w:t>
      </w:r>
      <w:r>
        <w:t xml:space="preserve">recovered ten spent .45-caliber casings. Pizzuto’s dog was gone.</w:t>
      </w:r>
    </w:p>
    <w:p>
      <w:pPr>
        <w:pStyle w:val="BodyText"/>
      </w:pPr>
      <w:r>
        <w:t xml:space="preserve">LaBranche had a plan for the getaway, of a sort. What he did not have was an</w:t>
      </w:r>
      <w:r>
        <w:t xml:space="preserve"> </w:t>
      </w:r>
      <w:r>
        <w:t xml:space="preserve">inconspicuous car.</w:t>
      </w:r>
    </w:p>
    <w:bookmarkStart w:id="20" w:name="Xb67c15b3ba8a1c2b05b18cdff259ef6251409d1"/>
    <w:p>
      <w:pPr>
        <w:pStyle w:val="Heading2"/>
      </w:pPr>
      <w:r>
        <w:t xml:space="preserve">The most memorable car he could have picked</w:t>
      </w:r>
    </w:p>
    <w:p>
      <w:pPr>
        <w:pStyle w:val="FirstParagraph"/>
      </w:pPr>
      <w:r>
        <w:t xml:space="preserve">When Brittany died, LaBranche took possession of her vehicle, a black Honda Accord</w:t>
      </w:r>
      <w:r>
        <w:t xml:space="preserve"> </w:t>
      </w:r>
      <w:r>
        <w:t xml:space="preserve">with chrome trim, and it was that car he drove to Rosa Avenue. As the</w:t>
      </w:r>
      <w:r>
        <w:t xml:space="preserve"> </w:t>
      </w:r>
      <w:r>
        <w:t xml:space="preserve">investigation began, a suspect vehicle came into focus quickly and stayed there,</w:t>
      </w:r>
      <w:r>
        <w:t xml:space="preserve"> </w:t>
      </w:r>
      <w:r>
        <w:t xml:space="preserve">because it was hard to miss: a small, black, four-door sedan with distinctive</w:t>
      </w:r>
      <w:r>
        <w:t xml:space="preserve"> </w:t>
      </w:r>
      <w:r>
        <w:t xml:space="preserve">chrome features, captured on home surveillance video leaving the scene minutes</w:t>
      </w:r>
      <w:r>
        <w:t xml:space="preserve"> </w:t>
      </w:r>
      <w:r>
        <w:t xml:space="preserve">after the gunshots. A neighbour saw a figure in dark clothing walk out of the</w:t>
      </w:r>
      <w:r>
        <w:t xml:space="preserve"> </w:t>
      </w:r>
      <w:r>
        <w:t xml:space="preserve">victims’ house, get into that car, and accelerate away.</w:t>
      </w:r>
    </w:p>
    <w:p>
      <w:pPr>
        <w:pStyle w:val="BodyText"/>
      </w:pPr>
      <w:r>
        <w:t xml:space="preserve">From there the car was traceable, because it had a paper identity. Police linked</w:t>
      </w:r>
      <w:r>
        <w:t xml:space="preserve"> </w:t>
      </w:r>
      <w:r>
        <w:t xml:space="preserve">the distinctive sedan to Brittany LaBranche’s Honda Accord, now registered to Cody</w:t>
      </w:r>
      <w:r>
        <w:t xml:space="preserve"> </w:t>
      </w:r>
      <w:r>
        <w:t xml:space="preserve">LaBranche’s mother, at the same Ponchatoula address where LaBranche himself lived.</w:t>
      </w:r>
      <w:r>
        <w:t xml:space="preserve"> </w:t>
      </w:r>
      <w:r>
        <w:t xml:space="preserve">A dead woman’s car, inherited by her aggrieved brother, still carrying its plates</w:t>
      </w:r>
      <w:r>
        <w:t xml:space="preserve"> </w:t>
      </w:r>
      <w:r>
        <w:t xml:space="preserve">and its papers, is not a getaway vehicle. It is a return address.</w:t>
      </w:r>
    </w:p>
    <w:p>
      <w:pPr>
        <w:pStyle w:val="BodyText"/>
      </w:pPr>
      <w:r>
        <w:t xml:space="preserve">And then the interstate finished the job. Investigators pulled data from Automatic</w:t>
      </w:r>
      <w:r>
        <w:t xml:space="preserve"> </w:t>
      </w:r>
      <w:r>
        <w:t xml:space="preserve">Licence Plate Reader systems, the networks of cameras that photograph passing</w:t>
      </w:r>
      <w:r>
        <w:t xml:space="preserve"> </w:t>
      </w:r>
      <w:r>
        <w:t xml:space="preserve">plates and timestamp their locations, and the readers had seen the Honda. Hours</w:t>
      </w:r>
      <w:r>
        <w:t xml:space="preserve"> </w:t>
      </w:r>
      <w:r>
        <w:t xml:space="preserve">after the murders, the Accord was recorded travelling northbound on Interstate 55</w:t>
      </w:r>
      <w:r>
        <w:t xml:space="preserve"> </w:t>
      </w:r>
      <w:r>
        <w:t xml:space="preserve">near Hammond, leaving the New Orleans area within the exact window of the killings,</w:t>
      </w:r>
      <w:r>
        <w:t xml:space="preserve"> </w:t>
      </w:r>
      <w:r>
        <w:t xml:space="preserve">on a trajectory that matched a drive from Metairie, where two men lay dead, home</w:t>
      </w:r>
      <w:r>
        <w:t xml:space="preserve"> </w:t>
      </w:r>
      <w:r>
        <w:t xml:space="preserve">toward Ponchatoula. The killer had not been followed by any detective that night.</w:t>
      </w:r>
      <w:r>
        <w:t xml:space="preserve"> </w:t>
      </w:r>
      <w:r>
        <w:t xml:space="preserve">He had been followed by the road itself, one automated camera handing him to the</w:t>
      </w:r>
      <w:r>
        <w:t xml:space="preserve"> </w:t>
      </w:r>
      <w:r>
        <w:t xml:space="preserve">next as he fled north, building a timestamped map of his escape that no one had to</w:t>
      </w:r>
      <w:r>
        <w:t xml:space="preserve"> </w:t>
      </w:r>
      <w:r>
        <w:t xml:space="preserve">be awake to draw.</w:t>
      </w:r>
    </w:p>
    <w:bookmarkEnd w:id="20"/>
    <w:bookmarkStart w:id="21" w:name="the-confession-and-the-river"/>
    <w:p>
      <w:pPr>
        <w:pStyle w:val="Heading2"/>
      </w:pPr>
      <w:r>
        <w:t xml:space="preserve">The confession, and the river</w:t>
      </w:r>
    </w:p>
    <w:p>
      <w:pPr>
        <w:pStyle w:val="FirstParagraph"/>
      </w:pPr>
      <w:r>
        <w:t xml:space="preserve">The plate readers put the car on the highway. LaBranche’s own mouth put him behind</w:t>
      </w:r>
      <w:r>
        <w:t xml:space="preserve"> </w:t>
      </w:r>
      <w:r>
        <w:t xml:space="preserve">the wheel. Arrested on February 11, 2022, and advised of his rights, he gave a</w:t>
      </w:r>
      <w:r>
        <w:t xml:space="preserve"> </w:t>
      </w:r>
      <w:r>
        <w:t xml:space="preserve">recorded statement in which he laid it out: he had armed himself at home, driven to</w:t>
      </w:r>
      <w:r>
        <w:t xml:space="preserve"> </w:t>
      </w:r>
      <w:r>
        <w:t xml:space="preserve">the Rosa Avenue house to confront Pizzuto about his sister, entered through the</w:t>
      </w:r>
      <w:r>
        <w:t xml:space="preserve"> </w:t>
      </w:r>
      <w:r>
        <w:t xml:space="preserve">side door, and opened fire, shooting Mitchell first and then Pizzuto. He denied</w:t>
      </w:r>
      <w:r>
        <w:t xml:space="preserve"> </w:t>
      </w:r>
      <w:r>
        <w:t xml:space="preserve">taking the dog. He admitted throwing the murder weapon into a river, the one piece</w:t>
      </w:r>
      <w:r>
        <w:t xml:space="preserve"> </w:t>
      </w:r>
      <w:r>
        <w:t xml:space="preserve">of evidence he successfully made disappear, and the one that mattered least, since</w:t>
      </w:r>
      <w:r>
        <w:t xml:space="preserve"> </w:t>
      </w:r>
      <w:r>
        <w:t xml:space="preserve">the rest of the case did not need it.</w:t>
      </w:r>
    </w:p>
    <w:p>
      <w:pPr>
        <w:pStyle w:val="BodyText"/>
      </w:pPr>
      <w:r>
        <w:t xml:space="preserve">He was convicted of two counts of first-degree murder and, on appeal in 2025, the</w:t>
      </w:r>
      <w:r>
        <w:t xml:space="preserve"> </w:t>
      </w:r>
      <w:r>
        <w:t xml:space="preserve">Louisiana courts affirmed. The ALPR trail was one strand among several, the</w:t>
      </w:r>
      <w:r>
        <w:t xml:space="preserve"> </w:t>
      </w:r>
      <w:r>
        <w:t xml:space="preserve">surveillance video, the neighbour, the vehicle’s registration, the confession, but</w:t>
      </w:r>
      <w:r>
        <w:t xml:space="preserve"> </w:t>
      </w:r>
      <w:r>
        <w:t xml:space="preserve">it was the strand that turned a distinctive car glimpsed leaving a murder scene</w:t>
      </w:r>
      <w:r>
        <w:t xml:space="preserve"> </w:t>
      </w:r>
      <w:r>
        <w:t xml:space="preserve">into a documented, minute-by-minute flight up the interstate.</w:t>
      </w:r>
    </w:p>
    <w:bookmarkEnd w:id="21"/>
    <w:bookmarkStart w:id="23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caught, in part, because he committed a murder in a billboard. Of all the</w:t>
      </w:r>
      <w:r>
        <w:t xml:space="preserve"> </w:t>
      </w:r>
      <w:r>
        <w:t xml:space="preserve">cars Cody LaBranche might have driven to Rosa Avenue, he chose the one nobody could</w:t>
      </w:r>
      <w:r>
        <w:t xml:space="preserve"> </w:t>
      </w:r>
      <w:r>
        <w:t xml:space="preserve">forget and everyone could trace: his dead sister’s black Accord with its chrome</w:t>
      </w:r>
      <w:r>
        <w:t xml:space="preserve"> </w:t>
      </w:r>
      <w:r>
        <w:t xml:space="preserve">trim, registered to his own mother at his own address. It announced itself on the</w:t>
      </w:r>
      <w:r>
        <w:t xml:space="preserve"> </w:t>
      </w:r>
      <w:r>
        <w:t xml:space="preserve">victims’ security cameras, and then, as he fled, it announced itself again to the</w:t>
      </w:r>
      <w:r>
        <w:t xml:space="preserve"> </w:t>
      </w:r>
      <w:r>
        <w:t xml:space="preserve">licence-plate readers strung along Interstate 55, which do nothing all day but</w:t>
      </w:r>
      <w:r>
        <w:t xml:space="preserve"> </w:t>
      </w:r>
      <w:r>
        <w:t xml:space="preserve">memorize the plates of passing cars and remember exactly when and where they saw</w:t>
      </w:r>
      <w:r>
        <w:t xml:space="preserve"> </w:t>
      </w:r>
      <w:r>
        <w:t xml:space="preserve">them. A getaway depends on being forgotten. LaBranche fled in a vehicle built,</w:t>
      </w:r>
      <w:r>
        <w:t xml:space="preserve"> </w:t>
      </w:r>
      <w:r>
        <w:t xml:space="preserve">almost, to be remembered, past a system of cameras designed for nothing else, and</w:t>
      </w:r>
      <w:r>
        <w:t xml:space="preserve"> </w:t>
      </w:r>
      <w:r>
        <w:t xml:space="preserve">by the time he reached Ponchatoula the road had already written down where he had</w:t>
      </w:r>
      <w:r>
        <w:t xml:space="preserve"> </w:t>
      </w:r>
      <w:r>
        <w:t xml:space="preserve">been.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State v. LaBranche</w:t>
      </w:r>
      <w:r>
        <w:t xml:space="preserve">, No. 25-KA-184 (La. App. 5</w:t>
      </w:r>
      <w:r>
        <w:t xml:space="preserve"> </w:t>
      </w:r>
      <w:r>
        <w:t xml:space="preserve">Cir. 2025), Court of Appeal of Louisiana, Fifth Circuit; FindLaw case ID</w:t>
      </w:r>
      <w:r>
        <w:t xml:space="preserve"> </w:t>
      </w:r>
      <w:r>
        <w:t xml:space="preserve">118267251.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FindLaw</w:t>
        </w:r>
      </w:hyperlink>
      <w:r>
        <w:t xml:space="preserve">.</w:t>
      </w:r>
      <w:r>
        <w:t xml:space="preserve"> </w:t>
      </w:r>
      <w:r>
        <w:t xml:space="preserve">The murders, the distinctive-vehicle identification, the ALPR tracking of the</w:t>
      </w:r>
      <w:r>
        <w:t xml:space="preserve"> </w:t>
      </w:r>
      <w:r>
        <w:t xml:space="preserve">Honda Accord northbound on I-55, and LaBranche’s confession are set out in the</w:t>
      </w:r>
      <w:r>
        <w:t xml:space="preserve"> </w:t>
      </w:r>
      <w:r>
        <w:t xml:space="preserve">opinion. (Citation note: cite by docket No. 25-KA-184 for now; because the</w:t>
      </w:r>
      <w:r>
        <w:t xml:space="preserve"> </w:t>
      </w:r>
      <w:r>
        <w:t xml:space="preserve">opinion is from late 2025, a bound So. 3d page has likely not been assigned yet</w:t>
      </w:r>
      <w:r>
        <w:t xml:space="preserve"> </w:t>
      </w:r>
      <w:r>
        <w:t xml:space="preserve">and it may exist only as a 2025 WL slip cite. Confirm before print.)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caselaw.findlaw.com/court/la-court-of-appeal/11826725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caselaw.findlaw.com/court/la-court-of-appeal/11826725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2026-07-10T12:02:59Z</dcterms:created>
  <dcterms:modified xsi:type="dcterms:W3CDTF">2026-07-10T12:02:59Z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