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how-not-to-get-away-with-murder"/>
    <w:p>
      <w:pPr>
        <w:pStyle w:val="Heading1"/>
      </w:pPr>
      <w:r>
        <w:t xml:space="preserve">HOW NOT TO GET AWAY WITH MURDER</w:t>
      </w:r>
    </w:p>
    <w:bookmarkStart w:id="20" w:name="X8ac853f0f3d8439614f86dd26ee5dd65ea84c6f"/>
    <w:p>
      <w:pPr>
        <w:pStyle w:val="Heading3"/>
      </w:pPr>
      <w:r>
        <w:t xml:space="preserve">True stories of the evidence that caught them, anchored to the court decisions that prove it</w:t>
      </w:r>
    </w:p>
    <w:p>
      <w:pPr>
        <w:pStyle w:val="FirstParagraph"/>
      </w:pPr>
      <w:r>
        <w:rPr>
          <w:bCs/>
          <w:b/>
        </w:rPr>
        <w:t xml:space="preserve">Frank Alfano</w:t>
      </w:r>
    </w:p>
    <w:p>
      <w:r>
        <w:pict>
          <v:rect style="width:0;height:1.5pt" o:hralign="center" o:hrstd="t" o:hr="t"/>
        </w:pict>
      </w:r>
    </w:p>
    <w:bookmarkEnd w:id="20"/>
    <w:bookmarkStart w:id="21" w:name="copyright"/>
    <w:p>
      <w:pPr>
        <w:pStyle w:val="Heading2"/>
      </w:pPr>
      <w:r>
        <w:t xml:space="preserve">Copyright</w:t>
      </w:r>
    </w:p>
    <w:p>
      <w:pPr>
        <w:pStyle w:val="FirstParagraph"/>
      </w:pPr>
      <w:r>
        <w:t xml:space="preserve">Copyright © 2026 by Frank Alfano.</w:t>
      </w:r>
    </w:p>
    <w:p>
      <w:pPr>
        <w:pStyle w:val="BodyText"/>
      </w:pPr>
      <w:r>
        <w:t xml:space="preserve">All rights reserved. No part of this book may be reproduced, stored in a retrieval</w:t>
      </w:r>
      <w:r>
        <w:t xml:space="preserve"> </w:t>
      </w:r>
      <w:r>
        <w:t xml:space="preserve">system, or transmitted in any form or by any means, electronic, mechanical,</w:t>
      </w:r>
      <w:r>
        <w:t xml:space="preserve"> </w:t>
      </w:r>
      <w:r>
        <w:t xml:space="preserve">photocopying, recording, or otherwise, without the prior written permission of the</w:t>
      </w:r>
      <w:r>
        <w:t xml:space="preserve"> </w:t>
      </w:r>
      <w:r>
        <w:t xml:space="preserve">author, except for the use of brief quotations in a book review.</w:t>
      </w:r>
    </w:p>
    <w:p>
      <w:pPr>
        <w:pStyle w:val="BodyText"/>
      </w:pPr>
      <w:r>
        <w:t xml:space="preserve">This is a work of nonfiction. Every case in this book is real. Each chapter is built</w:t>
      </w:r>
      <w:r>
        <w:t xml:space="preserve"> </w:t>
      </w:r>
      <w:r>
        <w:t xml:space="preserve">on a published appellate court decision, and the facts are drawn from those</w:t>
      </w:r>
      <w:r>
        <w:t xml:space="preserve"> </w:t>
      </w:r>
      <w:r>
        <w:t xml:space="preserve">decisions and, where noted, from the surrounding public record. The narrative</w:t>
      </w:r>
      <w:r>
        <w:t xml:space="preserve"> </w:t>
      </w:r>
      <w:r>
        <w:t xml:space="preserve">reconstruction, the pacing, and the commentary are the author’s; the underlying</w:t>
      </w:r>
      <w:r>
        <w:t xml:space="preserve"> </w:t>
      </w:r>
      <w:r>
        <w:t xml:space="preserve">facts belong to the courts. Where a chapter draws on material outside the anchoring</w:t>
      </w:r>
      <w:r>
        <w:t xml:space="preserve"> </w:t>
      </w:r>
      <w:r>
        <w:t xml:space="preserve">decision, that is flagged in the text. Where a court ordered that a victim’s or</w:t>
      </w:r>
      <w:r>
        <w:t xml:space="preserve"> </w:t>
      </w:r>
      <w:r>
        <w:t xml:space="preserve">witness’s identity be protected, this book keeps that person to initials.</w:t>
      </w:r>
    </w:p>
    <w:p>
      <w:pPr>
        <w:pStyle w:val="BodyText"/>
      </w:pPr>
      <w:r>
        <w:t xml:space="preserve">Nothing in this book is legal advice, and nothing in it should be read as a</w:t>
      </w:r>
      <w:r>
        <w:t xml:space="preserve"> </w:t>
      </w:r>
      <w:r>
        <w:t xml:space="preserve">statement about the guilt or innocence of any living person beyond what the cited</w:t>
      </w:r>
      <w:r>
        <w:t xml:space="preserve"> </w:t>
      </w:r>
      <w:r>
        <w:t xml:space="preserve">courts themselves concluded. Several of these cases were later reopened, reversed,</w:t>
      </w:r>
      <w:r>
        <w:t xml:space="preserve"> </w:t>
      </w:r>
      <w:r>
        <w:t xml:space="preserve">or retried; the book says so, in plain terms, wherever it happened.</w:t>
      </w:r>
    </w:p>
    <w:p>
      <w:pPr>
        <w:pStyle w:val="BodyText"/>
      </w:pPr>
      <w:r>
        <w:t xml:space="preserve">First edition, 2026.</w:t>
      </w:r>
    </w:p>
    <w:p>
      <w:r>
        <w:pict>
          <v:rect style="width:0;height:1.5pt" o:hralign="center" o:hrstd="t" o:hr="t"/>
        </w:pict>
      </w:r>
    </w:p>
    <w:bookmarkEnd w:id="21"/>
    <w:bookmarkStart w:id="22" w:name="dedication"/>
    <w:p>
      <w:pPr>
        <w:pStyle w:val="Heading2"/>
      </w:pPr>
      <w:r>
        <w:t xml:space="preserve">Dedication</w:t>
      </w:r>
    </w:p>
    <w:p>
      <w:pPr>
        <w:pStyle w:val="FirstParagraph"/>
      </w:pPr>
      <w:r>
        <w:t xml:space="preserve">For Silas, my grandson, whom I was lucky enough to be there for when he was born.</w:t>
      </w:r>
    </w:p>
    <w:p>
      <w:r>
        <w:pict>
          <v:rect style="width:0;height:1.5pt" o:hralign="center" o:hrstd="t" o:hr="t"/>
        </w:pic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2026-07-10T12:03:01Z</dcterms:created>
  <dcterms:modified xsi:type="dcterms:W3CDTF">2026-07-10T12:03:01Z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