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closing-note"/>
    <w:p>
      <w:pPr>
        <w:pStyle w:val="Heading1"/>
      </w:pPr>
      <w:r>
        <w:t xml:space="preserve">A Closing Note</w:t>
      </w:r>
    </w:p>
    <w:p>
      <w:pPr>
        <w:pStyle w:val="FirstParagraph"/>
      </w:pPr>
      <w:r>
        <w:t xml:space="preserve">The oldest lesson in this book is also the newest one. Long before there were cell</w:t>
      </w:r>
      <w:r>
        <w:t xml:space="preserve"> </w:t>
      </w:r>
      <w:r>
        <w:t xml:space="preserve">towers and fitness trackers, the person who took a life still had to walk into the</w:t>
      </w:r>
      <w:r>
        <w:t xml:space="preserve"> </w:t>
      </w:r>
      <w:r>
        <w:t xml:space="preserve">world and back out of it, and the world still kept its receipts. What our own century</w:t>
      </w:r>
      <w:r>
        <w:t xml:space="preserve"> </w:t>
      </w:r>
      <w:r>
        <w:t xml:space="preserve">has added is only the sheer number of receipts. We have surrounded ourselves with</w:t>
      </w:r>
      <w:r>
        <w:t xml:space="preserve"> </w:t>
      </w:r>
      <w:r>
        <w:t xml:space="preserve">patient, tireless witnesses that watch without judgment and remember without malice,</w:t>
      </w:r>
      <w:r>
        <w:t xml:space="preserve"> </w:t>
      </w:r>
      <w:r>
        <w:t xml:space="preserve">and we invited every one of them in. They count our steps because we asked them to.</w:t>
      </w:r>
      <w:r>
        <w:t xml:space="preserve"> </w:t>
      </w:r>
      <w:r>
        <w:t xml:space="preserve">They log our drives because it is convenient. They keep our questions because we</w:t>
      </w:r>
      <w:r>
        <w:t xml:space="preserve"> </w:t>
      </w:r>
      <w:r>
        <w:t xml:space="preserve">never told them to forget.</w:t>
      </w:r>
    </w:p>
    <w:p>
      <w:pPr>
        <w:pStyle w:val="BodyText"/>
      </w:pPr>
      <w:r>
        <w:t xml:space="preserve">For the guilty, that is a closing net. For the rest of us, it is worth a longer</w:t>
      </w:r>
      <w:r>
        <w:t xml:space="preserve"> </w:t>
      </w:r>
      <w:r>
        <w:t xml:space="preserve">thought than this book can give it, and a few of these chapters, the black box the</w:t>
      </w:r>
      <w:r>
        <w:t xml:space="preserve"> </w:t>
      </w:r>
      <w:r>
        <w:t xml:space="preserve">court would not let the police read, the confession the law threw out, mark exactly</w:t>
      </w:r>
      <w:r>
        <w:t xml:space="preserve"> </w:t>
      </w:r>
      <w:r>
        <w:t xml:space="preserve">where that thought should start. The same machinery that catches a killer in an</w:t>
      </w:r>
      <w:r>
        <w:t xml:space="preserve"> </w:t>
      </w:r>
      <w:r>
        <w:t xml:space="preserve">afternoon could be turned on anyone, for any reason, and the line that keeps it from</w:t>
      </w:r>
      <w:r>
        <w:t xml:space="preserve"> </w:t>
      </w:r>
      <w:r>
        <w:t xml:space="preserve">being is not the technology. It is the warrant, the judge, the rules of evidence, the</w:t>
      </w:r>
      <w:r>
        <w:t xml:space="preserve"> </w:t>
      </w:r>
      <w:r>
        <w:t xml:space="preserve">insistence that even a guilty man have the case proved against him and not merely</w:t>
      </w:r>
      <w:r>
        <w:t xml:space="preserve"> </w:t>
      </w:r>
      <w:r>
        <w:t xml:space="preserve">announced. The killers in these pages were caught because they left a trail. They</w:t>
      </w:r>
      <w:r>
        <w:t xml:space="preserve"> </w:t>
      </w:r>
      <w:r>
        <w:t xml:space="preserve">were convicted, when they were rightly convicted, because someone did the slow and</w:t>
      </w:r>
      <w:r>
        <w:t xml:space="preserve"> </w:t>
      </w:r>
      <w:r>
        <w:t xml:space="preserve">careful work of proving what the trail meant. That difference is the whole thing.</w:t>
      </w:r>
    </w:p>
    <w:p>
      <w:pPr>
        <w:pStyle w:val="BodyText"/>
      </w:pPr>
      <w:r>
        <w:t xml:space="preserve">And sometimes the careful work runs the other way, and frees a man the evidence</w:t>
      </w:r>
      <w:r>
        <w:t xml:space="preserve"> </w:t>
      </w:r>
      <w:r>
        <w:t xml:space="preserve">should never have caught. That is in here too, on purpose. A trail can be misread. A</w:t>
      </w:r>
      <w:r>
        <w:t xml:space="preserve"> </w:t>
      </w:r>
      <w:r>
        <w:t xml:space="preserve">science can be junk dressed as certainty. The best answer to a machine that never</w:t>
      </w:r>
      <w:r>
        <w:t xml:space="preserve"> </w:t>
      </w:r>
      <w:r>
        <w:t xml:space="preserve">forgets has always been a human being who insists on getting it right.</w:t>
      </w:r>
    </w:p>
    <w:p>
      <w:pPr>
        <w:pStyle w:val="BodyText"/>
      </w:pPr>
      <w:r>
        <w:t xml:space="preserve">So: do not bring your phone to a murder. Better yet, do not commit one. But if you</w:t>
      </w:r>
      <w:r>
        <w:t xml:space="preserve"> </w:t>
      </w:r>
      <w:r>
        <w:t xml:space="preserve">take nothing else from these stories, take this. Everything remembers now. It is a</w:t>
      </w:r>
      <w:r>
        <w:t xml:space="preserve"> </w:t>
      </w:r>
      <w:r>
        <w:t xml:space="preserve">marvelous thing, and a dangerous one, and which of the two depends entirely on who is</w:t>
      </w:r>
      <w:r>
        <w:t xml:space="preserve"> </w:t>
      </w:r>
      <w:r>
        <w:t xml:space="preserve">allowed to read the memory, and how carefully they are made to prove what it says.</w:t>
      </w:r>
    </w:p>
    <w:p>
      <w:r>
        <w:pict>
          <v:rect style="width:0;height:1.5pt" o:hralign="center" o:hrstd="t" o:hr="t"/>
        </w:pict>
      </w:r>
    </w:p>
    <w:bookmarkEnd w:id="20"/>
    <w:bookmarkStart w:id="21" w:name="a-note-on-sources-and-method"/>
    <w:p>
      <w:pPr>
        <w:pStyle w:val="Heading1"/>
      </w:pPr>
      <w:r>
        <w:t xml:space="preserve">A Note on Sources and Method</w:t>
      </w:r>
    </w:p>
    <w:p>
      <w:pPr>
        <w:pStyle w:val="FirstParagraph"/>
      </w:pPr>
      <w:r>
        <w:t xml:space="preserve">Every chapter in this book began with a court decision and was written from it.</w:t>
      </w:r>
    </w:p>
    <w:p>
      <w:pPr>
        <w:pStyle w:val="BodyText"/>
      </w:pPr>
      <w:r>
        <w:t xml:space="preserve">The cases were chosen for one quality above all: that a single, understandable thread</w:t>
      </w:r>
      <w:r>
        <w:t xml:space="preserve"> </w:t>
      </w:r>
      <w:r>
        <w:t xml:space="preserve">of evidence, one kind of forensic or investigative proof, could be shown doing its</w:t>
      </w:r>
      <w:r>
        <w:t xml:space="preserve"> </w:t>
      </w:r>
      <w:r>
        <w:t xml:space="preserve">work, and that a genuine appellate court had set out the facts in a written opinion</w:t>
      </w:r>
      <w:r>
        <w:t xml:space="preserve"> </w:t>
      </w:r>
      <w:r>
        <w:t xml:space="preserve">the reader could go and verify. That last requirement did real work. Some famous</w:t>
      </w:r>
      <w:r>
        <w:t xml:space="preserve"> </w:t>
      </w:r>
      <w:r>
        <w:t xml:space="preserve">cases are absent from this book precisely because they never produced a qualifying</w:t>
      </w:r>
      <w:r>
        <w:t xml:space="preserve"> </w:t>
      </w:r>
      <w:r>
        <w:t xml:space="preserve">appellate decision, resolved instead by a guilty plea or an abandoned appeal, and this</w:t>
      </w:r>
      <w:r>
        <w:t xml:space="preserve"> </w:t>
      </w:r>
      <w:r>
        <w:t xml:space="preserve">book would rather leave a good story out than anchor it to something you cannot check.</w:t>
      </w:r>
    </w:p>
    <w:p>
      <w:pPr>
        <w:pStyle w:val="BodyText"/>
      </w:pPr>
      <w:r>
        <w:t xml:space="preserve">For each chapter, the anchoring decision was read in full, and the facts, the</w:t>
      </w:r>
      <w:r>
        <w:t xml:space="preserve"> </w:t>
      </w:r>
      <w:r>
        <w:t xml:space="preserve">evidence, and the disposition were taken from it. Where the narrative reaches beyond</w:t>
      </w:r>
      <w:r>
        <w:t xml:space="preserve"> </w:t>
      </w:r>
      <w:r>
        <w:t xml:space="preserve">the four corners of that decision, into a case’s later history, a retrial, a</w:t>
      </w:r>
      <w:r>
        <w:t xml:space="preserve"> </w:t>
      </w:r>
      <w:r>
        <w:t xml:space="preserve">reversal, an exoneration, or into widely reported detail the opinion did not itself</w:t>
      </w:r>
      <w:r>
        <w:t xml:space="preserve"> </w:t>
      </w:r>
      <w:r>
        <w:t xml:space="preserve">contain, the text says so in plain language. Figures that circulate in the press but</w:t>
      </w:r>
      <w:r>
        <w:t xml:space="preserve"> </w:t>
      </w:r>
      <w:r>
        <w:t xml:space="preserve">do not appear in the opinions are identified as such. Decisions in French were</w:t>
      </w:r>
      <w:r>
        <w:t xml:space="preserve"> </w:t>
      </w:r>
      <w:r>
        <w:t xml:space="preserve">translated for the reader. Where a court protected an identity, initials are used.</w:t>
      </w:r>
    </w:p>
    <w:p>
      <w:pPr>
        <w:pStyle w:val="BodyText"/>
      </w:pPr>
      <w:r>
        <w:t xml:space="preserve">The citations were checked against free public legal databases: CanLII for the</w:t>
      </w:r>
      <w:r>
        <w:t xml:space="preserve"> </w:t>
      </w:r>
      <w:r>
        <w:t xml:space="preserve">Canadian cases, and Justia, CourtListener, and similar services for the American ones.</w:t>
      </w:r>
      <w:r>
        <w:t xml:space="preserve"> </w:t>
      </w:r>
      <w:r>
        <w:t xml:space="preserve">A small number of exact reporter page numbers, the volume-and-page assigned by</w:t>
      </w:r>
      <w:r>
        <w:t xml:space="preserve"> </w:t>
      </w:r>
      <w:r>
        <w:t xml:space="preserve">commercial publishers after a decision issues, are noted where they should be</w:t>
      </w:r>
      <w:r>
        <w:t xml:space="preserve"> </w:t>
      </w:r>
      <w:r>
        <w:t xml:space="preserve">confirmed against a final printed reporter; in every such instance the case, court,</w:t>
      </w:r>
      <w:r>
        <w:t xml:space="preserve"> </w:t>
      </w:r>
      <w:r>
        <w:t xml:space="preserve">date, and docket number are certain, and the decision can be found and read today.</w:t>
      </w:r>
    </w:p>
    <w:p>
      <w:r>
        <w:pict>
          <v:rect style="width:0;height:1.5pt" o:hralign="center" o:hrstd="t" o:hr="t"/>
        </w:pict>
      </w:r>
    </w:p>
    <w:bookmarkEnd w:id="21"/>
    <w:bookmarkStart w:id="22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A book like this one is a debt to institutions before it is a debt to people. It owes</w:t>
      </w:r>
      <w:r>
        <w:t xml:space="preserve"> </w:t>
      </w:r>
      <w:r>
        <w:t xml:space="preserve">everything to the judges who wrote these decisions with care, to the court reporters</w:t>
      </w:r>
      <w:r>
        <w:t xml:space="preserve"> </w:t>
      </w:r>
      <w:r>
        <w:t xml:space="preserve">and clerks who preserved them, and to the free public databases, CanLII, Justia,</w:t>
      </w:r>
      <w:r>
        <w:t xml:space="preserve"> </w:t>
      </w:r>
      <w:r>
        <w:t xml:space="preserve">CourtListener, and their kind, that put the law within reach of anyone with a</w:t>
      </w:r>
      <w:r>
        <w:t xml:space="preserve"> </w:t>
      </w:r>
      <w:r>
        <w:t xml:space="preserve">question and an evening. Open access to court decisions is what made a book like this</w:t>
      </w:r>
      <w:r>
        <w:t xml:space="preserve"> </w:t>
      </w:r>
      <w:r>
        <w:t xml:space="preserve">possible for an ordinary reader to write and for an ordinary reader to check. It is</w:t>
      </w:r>
      <w:r>
        <w:t xml:space="preserve"> </w:t>
      </w:r>
      <w:r>
        <w:t xml:space="preserve">easy to take for granted. It should not be.</w:t>
      </w:r>
    </w:p>
    <w:p>
      <w:pPr>
        <w:pStyle w:val="BodyText"/>
      </w:pPr>
      <w:r>
        <w:t xml:space="preserve">My thanks to the family and friends who read early chapters, argued with me about</w:t>
      </w:r>
      <w:r>
        <w:t xml:space="preserve"> </w:t>
      </w:r>
      <w:r>
        <w:t xml:space="preserve">which cases belonged, and reminded me, when a clever capture threatened to become the</w:t>
      </w:r>
      <w:r>
        <w:t xml:space="preserve"> </w:t>
      </w:r>
      <w:r>
        <w:t xml:space="preserve">whole point, that a real person had died in every one of these stories.</w:t>
      </w:r>
    </w:p>
    <w:p>
      <w:pPr>
        <w:pStyle w:val="BodyText"/>
      </w:pPr>
      <w:r>
        <w:t xml:space="preserve">And to Silas, who arrived in the middle of the writing and put all of it in</w:t>
      </w:r>
      <w:r>
        <w:t xml:space="preserve"> </w:t>
      </w:r>
      <w:r>
        <w:t xml:space="preserve">proportion.</w:t>
      </w:r>
    </w:p>
    <w:p>
      <w:r>
        <w:pict>
          <v:rect style="width:0;height:1.5pt" o:hralign="center" o:hrstd="t" o:hr="t"/>
        </w:pict>
      </w:r>
    </w:p>
    <w:bookmarkEnd w:id="22"/>
    <w:bookmarkStart w:id="23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t xml:space="preserve">Frank Alfano, LL.B., LL.M., writes about the law the way it actually works: on the</w:t>
      </w:r>
      <w:r>
        <w:t xml:space="preserve"> </w:t>
      </w:r>
      <w:r>
        <w:t xml:space="preserve">record, one case at a time. Trained in the law, he built this book the way a lawyer</w:t>
      </w:r>
      <w:r>
        <w:t xml:space="preserve"> </w:t>
      </w:r>
      <w:r>
        <w:t xml:space="preserve">builds a case, every chapter anchored to an appellate court decision the reader can</w:t>
      </w:r>
      <w:r>
        <w:t xml:space="preserve"> </w:t>
      </w:r>
      <w:r>
        <w:t xml:space="preserve">look up and verify.</w:t>
      </w:r>
      <w:r>
        <w:t xml:space="preserve"> </w:t>
      </w:r>
      <w:r>
        <w:rPr>
          <w:iCs/>
          <w:i/>
        </w:rPr>
        <w:t xml:space="preserve">How Not to Get Away With Murder</w:t>
      </w:r>
      <w:r>
        <w:t xml:space="preserve"> </w:t>
      </w:r>
      <w:r>
        <w:t xml:space="preserve">is his first book.</w:t>
      </w:r>
    </w:p>
    <w:p>
      <w:pPr>
        <w:pStyle w:val="BodyText"/>
      </w:pPr>
      <w:r>
        <w:t xml:space="preserve">Find him at frankalfano.ca.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2026-07-12T16:36:40Z</dcterms:created>
  <dcterms:modified xsi:type="dcterms:W3CDTF">2026-07-12T16:36:40Z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