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how-not-to-get-away-with-murder"/>
    <w:p>
      <w:pPr>
        <w:pStyle w:val="Heading1"/>
      </w:pPr>
      <w:r>
        <w:t xml:space="preserve">HOW NOT TO GET AWAY WITH MURDER</w:t>
      </w:r>
    </w:p>
    <w:bookmarkStart w:id="20" w:name="X8ac853f0f3d8439614f86dd26ee5dd65ea84c6f"/>
    <w:p>
      <w:pPr>
        <w:pStyle w:val="Heading3"/>
      </w:pPr>
      <w:r>
        <w:t xml:space="preserve">True stories of the evidence that caught them — anchored to the court decisions that prove it</w:t>
      </w:r>
    </w:p>
    <w:p>
      <w:pPr>
        <w:pStyle w:val="FirstParagraph"/>
      </w:pPr>
      <w:r>
        <w:rPr>
          <w:iCs/>
          <w:i/>
        </w:rPr>
        <w:t xml:space="preserve">Working manuscript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Every chapter in this book is built on a real, published appellate court</w:t>
      </w:r>
      <w:r>
        <w:t xml:space="preserve"> </w:t>
      </w:r>
      <w:r>
        <w:t xml:space="preserve">decision — from the Supreme Court of Canada, the provincial Courts of Appeal,</w:t>
      </w:r>
      <w:r>
        <w:t xml:space="preserve"> </w:t>
      </w:r>
      <w:r>
        <w:t xml:space="preserve">the United States Supreme Court, and the American state high courts. The</w:t>
      </w:r>
      <w:r>
        <w:t xml:space="preserve"> </w:t>
      </w:r>
      <w:r>
        <w:t xml:space="preserve">storytelling is ours; the facts are the courts’. At the end of every chapter,</w:t>
      </w:r>
      <w:r>
        <w:t xml:space="preserve"> </w:t>
      </w:r>
      <w:r>
        <w:t xml:space="preserve">a citation and a free link let you read the decision yourself.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3" w:name="how-not-to-get-away-with-murder-1"/>
    <w:p>
      <w:pPr>
        <w:pStyle w:val="Heading1"/>
      </w:pPr>
      <w:r>
        <w:t xml:space="preserve">How Not to Get Away With Murder</w:t>
      </w:r>
    </w:p>
    <w:bookmarkStart w:id="23" w:name="Xd4cbb549e59c79505a09d42e3d951df4b7125d5"/>
    <w:p>
      <w:pPr>
        <w:pStyle w:val="Heading2"/>
      </w:pPr>
      <w:r>
        <w:t xml:space="preserve">Table of Contents</w:t>
      </w:r>
      <w:r>
        <w:t xml:space="preserve"> </w:t>
      </w:r>
      <w:r>
        <w:rPr>
          <w:iCs/>
          <w:i/>
        </w:rPr>
        <w:t xml:space="preserve">(working draft v2 — Canada + United States)</w:t>
      </w:r>
    </w:p>
    <w:p>
      <w:pPr>
        <w:pStyle w:val="BlockText"/>
      </w:pPr>
      <w:r>
        <w:t xml:space="preserve">Organized by the</w:t>
      </w:r>
      <w:r>
        <w:t xml:space="preserve"> </w:t>
      </w:r>
      <w:r>
        <w:rPr>
          <w:iCs/>
          <w:i/>
        </w:rPr>
        <w:t xml:space="preserve">kind of evidence</w:t>
      </w:r>
      <w:r>
        <w:t xml:space="preserve"> </w:t>
      </w:r>
      <w:r>
        <w:t xml:space="preserve">that caught them. Cases from both Canada</w:t>
      </w:r>
      <w:r>
        <w:t xml:space="preserve"> </w:t>
      </w:r>
      <w:r>
        <w:t xml:space="preserve">(🇨🇦, CanLII) and the United States (🇺🇸, Justia/CourtListener) sit side by side</w:t>
      </w:r>
      <w:r>
        <w:t xml:space="preserve"> </w:t>
      </w:r>
      <w:r>
        <w:t xml:space="preserve">within each forensic theme — because the science doesn’t stop at the border,</w:t>
      </w:r>
      <w:r>
        <w:t xml:space="preserve"> </w:t>
      </w:r>
      <w:r>
        <w:t xml:space="preserve">and the American cases are often the darker ones. Full citations, links, and</w:t>
      </w:r>
      <w:r>
        <w:t xml:space="preserve"> </w:t>
      </w:r>
      <w:r>
        <w:t xml:space="preserve">smoking-gun summaries are in</w:t>
      </w:r>
      <w:r>
        <w:t xml:space="preserve"> </w:t>
      </w:r>
      <w:r>
        <w:rPr>
          <w:rStyle w:val="VerbatimChar"/>
        </w:rPr>
        <w:t xml:space="preserve">case-index.md</w:t>
      </w:r>
      <w:r>
        <w:t xml:space="preserve"> </w:t>
      </w:r>
      <w:r>
        <w:t xml:space="preserve">(Canada) and</w:t>
      </w:r>
      <w:r>
        <w:t xml:space="preserve"> </w:t>
      </w:r>
      <w:r>
        <w:rPr>
          <w:rStyle w:val="VerbatimChar"/>
        </w:rPr>
        <w:t xml:space="preserve">us-case-index.md</w:t>
      </w:r>
      <w:r>
        <w:t xml:space="preserve"> </w:t>
      </w:r>
      <w:r>
        <w:t xml:space="preserve">(US); the download list is</w:t>
      </w:r>
      <w:r>
        <w:t xml:space="preserve"> </w:t>
      </w:r>
      <w:r>
        <w:rPr>
          <w:rStyle w:val="VerbatimChar"/>
        </w:rPr>
        <w:t xml:space="preserve">citation-worklist.md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2" w:name="X6695b5a1d37eb10876d9f30da90915883270c2d"/>
    <w:p>
      <w:pPr>
        <w:pStyle w:val="Heading3"/>
      </w:pPr>
      <w:r>
        <w:t xml:space="preserve">Introduction — The Smoking Gun Is Rarely a Gun</w:t>
      </w:r>
    </w:p>
    <w:p>
      <w:pPr>
        <w:pStyle w:val="FirstParagraph"/>
      </w:pPr>
      <w:r>
        <w:t xml:space="preserve">Why killers get caught: not by one dramatic clue, but by the trail they can’t</w:t>
      </w:r>
      <w:r>
        <w:t xml:space="preserve"> </w:t>
      </w:r>
      <w:r>
        <w:t xml:space="preserve">stop leaving — in cell towers, on their own hands, in their search bars, on their</w:t>
      </w:r>
      <w:r>
        <w:t xml:space="preserve"> </w:t>
      </w:r>
      <w:r>
        <w:t xml:space="preserve">wrists, and in their own mouths. How to read this book; how to read a court</w:t>
      </w:r>
      <w:r>
        <w:t xml:space="preserve"> </w:t>
      </w:r>
      <w:r>
        <w:t xml:space="preserve">decision; and why we tell you the case name every time, so you can go check us.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i-what-the-body-kept"/>
    <w:p>
      <w:pPr>
        <w:pStyle w:val="Heading2"/>
      </w:pPr>
      <w:r>
        <w:t xml:space="preserve">PART I — WHAT THE BODY KEPT</w:t>
      </w:r>
    </w:p>
    <w:p>
      <w:pPr>
        <w:pStyle w:val="FirstParagraph"/>
      </w:pPr>
      <w:r>
        <w:rPr>
          <w:iCs/>
          <w:i/>
        </w:rPr>
        <w:t xml:space="preserve">DNA, genetic genealogy, trace evidence, and toxicology — the science of what a</w:t>
      </w:r>
      <w:r>
        <w:rPr>
          <w:iCs/>
          <w:i/>
        </w:rPr>
        <w:t xml:space="preserve"> </w:t>
      </w:r>
      <w:r>
        <w:rPr>
          <w:iCs/>
          <w:i/>
        </w:rPr>
        <w:t xml:space="preserve">victim’s body, and a killer’s, refuse to let 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Man Who Handed Police the Hair That Hanged Him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Arp</w:t>
      </w:r>
      <w:r>
        <w:t xml:space="preserve"> </w:t>
      </w:r>
      <w:r>
        <w:t xml:space="preserve">(SCC, 1998)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Novel Science, First Blood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Legere</w:t>
      </w:r>
      <w:r>
        <w:t xml:space="preserve"> </w:t>
      </w:r>
      <w:r>
        <w:t xml:space="preserve">(NB CA, 1994) — Canada’s first DNA murder conviction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Under Her Fingernails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Laliberté c. R.</w:t>
      </w:r>
      <w:r>
        <w:t xml:space="preserve"> </w:t>
      </w:r>
      <w:r>
        <w:t xml:space="preserve">(QC CA, 2015)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Maintenance Man’s Calling Card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Terceira</w:t>
      </w:r>
      <w:r>
        <w:t xml:space="preserve"> </w:t>
      </w:r>
      <w:r>
        <w:t xml:space="preserve">(ON CA/SCC, 1998–99) — fibres + hair + DNA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Coffee Cup and a Stranger’s Family Tree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Talbott</w:t>
      </w:r>
      <w:r>
        <w:t xml:space="preserve"> </w:t>
      </w:r>
      <w:r>
        <w:t xml:space="preserve">(Wash., 2022) — the first genetic-genealogy trial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Privacy in the DNA Your Cousins Share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Hartman</w:t>
      </w:r>
      <w:r>
        <w:t xml:space="preserve"> </w:t>
      </w:r>
      <w:r>
        <w:t xml:space="preserve">(Wash. Ct. App., 2023) — the technique upheld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Sidebar:</w:t>
      </w:r>
      <w:r>
        <w:t xml:space="preserve"> </w:t>
      </w:r>
      <w:r>
        <w:t xml:space="preserve">🇺🇸 the Golden State Killer (DeAngelo) — the cold case that launched it all (no appeal)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Also in this thread: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People v. Vaultz</w:t>
      </w:r>
      <w:r>
        <w:t xml:space="preserve"> </w:t>
      </w:r>
      <w:r>
        <w:t xml:space="preserve">(Cal., 2024) and the G063674 constitutionality ruling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Carpet in His Bedroom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Williams v. State</w:t>
      </w:r>
      <w:r>
        <w:t xml:space="preserve"> </w:t>
      </w:r>
      <w:r>
        <w:t xml:space="preserve">(Ga., 1983) — the Atlanta Child Murders fibre case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Sweet Taste of Antifreeze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Turner v. State</w:t>
      </w:r>
      <w:r>
        <w:t xml:space="preserve"> </w:t>
      </w:r>
      <w:r>
        <w:t xml:space="preserve">(Ga., 2007) — two men, years apart, one poisoner</w:t>
      </w:r>
    </w:p>
    <w:bookmarkEnd w:id="24"/>
    <w:bookmarkStart w:id="25" w:name="part-ii-the-phone-in-your-pocket"/>
    <w:p>
      <w:pPr>
        <w:pStyle w:val="Heading2"/>
      </w:pPr>
      <w:r>
        <w:t xml:space="preserve">PART II — THE PHONE IN YOUR POCKET</w:t>
      </w:r>
    </w:p>
    <w:p>
      <w:pPr>
        <w:pStyle w:val="FirstParagraph"/>
      </w:pPr>
      <w:r>
        <w:rPr>
          <w:iCs/>
          <w:i/>
        </w:rPr>
        <w:t xml:space="preserve">Cell-tower pings, GPS, geotags, and licence-plate readers — the machines that</w:t>
      </w:r>
      <w:r>
        <w:rPr>
          <w:iCs/>
          <w:i/>
        </w:rPr>
        <w:t xml:space="preserve"> </w:t>
      </w:r>
      <w:r>
        <w:rPr>
          <w:iCs/>
          <w:i/>
        </w:rPr>
        <w:t xml:space="preserve">log where you were.</w:t>
      </w:r>
    </w:p>
    <w:p>
      <w:pPr>
        <w:pStyle w:val="BlockText"/>
      </w:pPr>
      <w:r>
        <w:rPr>
          <w:iCs/>
          <w:i/>
        </w:rPr>
        <w:t xml:space="preserve">Framing: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Carpenter v. United States</w:t>
      </w:r>
      <w:r>
        <w:t xml:space="preserve"> </w:t>
      </w:r>
      <w:r>
        <w:t xml:space="preserve">(2018) and</w:t>
      </w:r>
      <w:r>
        <w:t xml:space="preserve"> </w:t>
      </w:r>
      <w:r>
        <w:rPr>
          <w:iCs/>
          <w:i/>
        </w:rPr>
        <w:t xml:space="preserve">United States v. Jones</w:t>
      </w:r>
      <w:r>
        <w:t xml:space="preserve"> </w:t>
      </w:r>
      <w:r>
        <w:t xml:space="preserve">(2012) — the two rulings that decided when the phone in your pocket needs a</w:t>
      </w:r>
      <w:r>
        <w:t xml:space="preserve"> </w:t>
      </w:r>
      <w:r>
        <w:t xml:space="preserve">warrant.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Two Phones, the Same Towers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(Tim Bosma) (ON CA, 2023)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 Murder With No Body, Solved by Where Three Phones Met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(Laura Babcock) (ON CA, 2023)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Your Rental Car Snitched on You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 </w:t>
      </w:r>
      <w:r>
        <w:t xml:space="preserve">(ON CA, 2022) — infotainment GPS log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Seven Hundred Thousand Records Behind a Smiling Daughter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Pan</w:t>
      </w:r>
      <w:r>
        <w:t xml:space="preserve"> </w:t>
      </w:r>
      <w:r>
        <w:t xml:space="preserve">(ON CA 2023 / SCC 2025) 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 Said He Went Fishing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People v. Peterson</w:t>
      </w:r>
      <w:r>
        <w:t xml:space="preserve"> </w:t>
      </w:r>
      <w:r>
        <w:t xml:space="preserve">(Scott Peterson) (Cal., 2020) — GPS to the exact patch of bay 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Blind Photo From Inside a Pocket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Zielinski</w:t>
      </w:r>
      <w:r>
        <w:t xml:space="preserve"> </w:t>
      </w:r>
      <w:r>
        <w:t xml:space="preserve">(Minn., 2024) — an accidental geotag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Cameras on the Interstate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LaBranche</w:t>
      </w:r>
      <w:r>
        <w:t xml:space="preserve"> </w:t>
      </w:r>
      <w:r>
        <w:t xml:space="preserve">(La., 2025) — ALPR tracks the getaway car</w:t>
      </w:r>
    </w:p>
    <w:bookmarkEnd w:id="25"/>
    <w:bookmarkStart w:id="26" w:name="part-iii-what-you-typed-what-you-saved"/>
    <w:p>
      <w:pPr>
        <w:pStyle w:val="Heading2"/>
      </w:pPr>
      <w:r>
        <w:t xml:space="preserve">PART III — WHAT YOU TYPED, WHAT YOU SAVED</w:t>
      </w:r>
    </w:p>
    <w:p>
      <w:pPr>
        <w:pStyle w:val="FirstParagraph"/>
      </w:pPr>
      <w:r>
        <w:rPr>
          <w:iCs/>
          <w:i/>
        </w:rPr>
        <w:t xml:space="preserve">Search history, deleted files, chat logs — the confession you type when you</w:t>
      </w:r>
      <w:r>
        <w:rPr>
          <w:iCs/>
          <w:i/>
        </w:rPr>
        <w:t xml:space="preserve"> </w:t>
      </w:r>
      <w:r>
        <w:rPr>
          <w:iCs/>
          <w:i/>
        </w:rPr>
        <w:t xml:space="preserve">think no one’s reading.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Most Painful Torture</w:t>
      </w:r>
      <w:r>
        <w:rPr>
          <w:bCs/>
          <w:b/>
        </w:rPr>
        <w:t xml:space="preserve">”</w:t>
      </w:r>
      <w:r>
        <w:rPr>
          <w:bCs/>
          <w:b/>
        </w:rPr>
        <w:t xml:space="preserve">: The Hard Drive in the Wall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Garland</w:t>
      </w:r>
      <w:r>
        <w:t xml:space="preserve"> </w:t>
      </w:r>
      <w:r>
        <w:t xml:space="preserve">(AB CA, 2019)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When the Chat Log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Is</w:t>
      </w:r>
      <w:r>
        <w:rPr>
          <w:bCs/>
          <w:b/>
        </w:rPr>
        <w:t xml:space="preserve"> </w:t>
      </w:r>
      <w:r>
        <w:rPr>
          <w:bCs/>
          <w:b/>
        </w:rPr>
        <w:t xml:space="preserve">the Crime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Todorovic</w:t>
      </w:r>
      <w:r>
        <w:t xml:space="preserve"> </w:t>
      </w:r>
      <w:r>
        <w:t xml:space="preserve">(ON CA, 2014)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Text That Set the Meeting, the Camera That Caught the Exit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Sandeson</w:t>
      </w:r>
      <w:r>
        <w:t xml:space="preserve"> </w:t>
      </w:r>
      <w:r>
        <w:t xml:space="preserve">(NS CA, 2020)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 Murder Syllabus on the Family Computer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 </w:t>
      </w:r>
      <w:r>
        <w:t xml:space="preserve">(Wis., 2021) — botulism, mercury fulminate, antifreeze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 Googled Where a Bullet Won’t Kill You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Barber v. State</w:t>
      </w:r>
      <w:r>
        <w:t xml:space="preserve"> </w:t>
      </w:r>
      <w:r>
        <w:t xml:space="preserve">(Fla., 2009) — staging a beach shooting</w:t>
      </w:r>
    </w:p>
    <w:bookmarkEnd w:id="26"/>
    <w:bookmarkStart w:id="27" w:name="part-iv-the-device-that-watched-you"/>
    <w:p>
      <w:pPr>
        <w:pStyle w:val="Heading2"/>
      </w:pPr>
      <w:r>
        <w:t xml:space="preserve">PART IV — THE DEVICE THAT WATCHED YOU</w:t>
      </w:r>
    </w:p>
    <w:p>
      <w:pPr>
        <w:pStyle w:val="FirstParagraph"/>
      </w:pPr>
      <w:r>
        <w:rPr>
          <w:iCs/>
          <w:i/>
        </w:rPr>
        <w:t xml:space="preserve">Fitness trackers, smart speakers, pacemakers, and the black box in your car —</w:t>
      </w:r>
      <w:r>
        <w:rPr>
          <w:iCs/>
          <w:i/>
        </w:rPr>
        <w:t xml:space="preserve"> </w:t>
      </w:r>
      <w:r>
        <w:rPr>
          <w:iCs/>
          <w:i/>
        </w:rPr>
        <w:t xml:space="preserve">the witnesses you strap on and invite inside.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Steps a Dead Woman Kept Taking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 </w:t>
      </w:r>
      <w:r>
        <w:t xml:space="preserve">(Conn., 2025) — the Fitbit murder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Twelve Steps Cleared the Wrong Man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 </w:t>
      </w:r>
      <w:r>
        <w:t xml:space="preserve">(Wis., 2021) — a Fitbit alibi, then the real killer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Car That Almost Testified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Worsham</w:t>
      </w:r>
      <w:r>
        <w:t xml:space="preserve"> </w:t>
      </w:r>
      <w:r>
        <w:t xml:space="preserve">(Fla., 2017) 🔶 with</w:t>
      </w:r>
      <w:r>
        <w:t xml:space="preserve"> </w:t>
      </w:r>
      <w:r>
        <w:rPr>
          <w:iCs/>
          <w:i/>
        </w:rPr>
        <w:t xml:space="preserve">People v. Xinos</w:t>
      </w:r>
      <w:r>
        <w:t xml:space="preserve"> </w:t>
      </w:r>
      <w:r>
        <w:t xml:space="preserve">(Cal., 2011) 🔶 — the black-box privacy fight</w:t>
      </w:r>
    </w:p>
    <w:p>
      <w:pPr>
        <w:numPr>
          <w:ilvl w:val="1"/>
          <w:numId w:val="1006"/>
        </w:numPr>
        <w:pStyle w:val="Compact"/>
      </w:pPr>
      <w:r>
        <w:rPr>
          <w:iCs/>
          <w:i/>
        </w:rPr>
        <w:t xml:space="preserve">Sidebar — The Device That Almost Testified:</w:t>
      </w:r>
      <w:r>
        <w:t xml:space="preserve"> </w:t>
      </w:r>
      <w:r>
        <w:t xml:space="preserve">the Alexa cases (Bates, Crespo, Verrill), the Aiello Fitbit heartbeat, the Compton pacemaker — famous, but none convicted-on-appeal 🔶</w:t>
      </w:r>
    </w:p>
    <w:bookmarkEnd w:id="27"/>
    <w:bookmarkStart w:id="28" w:name="part-v-the-gun-and-the-residue"/>
    <w:p>
      <w:pPr>
        <w:pStyle w:val="Heading2"/>
      </w:pPr>
      <w:r>
        <w:t xml:space="preserve">PART V — THE GUN AND THE RESIDUE</w:t>
      </w:r>
    </w:p>
    <w:p>
      <w:pPr>
        <w:pStyle w:val="FirstParagraph"/>
      </w:pPr>
      <w:r>
        <w:rPr>
          <w:iCs/>
          <w:i/>
        </w:rPr>
        <w:t xml:space="preserve">Gunshot residue, ballistics, and toolmarks — what a fired weapon leaves behind.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Residue on His Hand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Stevenson</w:t>
      </w:r>
      <w:r>
        <w:t xml:space="preserve"> </w:t>
      </w:r>
      <w:r>
        <w:t xml:space="preserve">(ON CA, 2014)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Gun, But the Bullets Matched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F. (J.M.)</w:t>
      </w:r>
      <w:r>
        <w:t xml:space="preserve"> </w:t>
      </w:r>
      <w:r>
        <w:t xml:space="preserve">(MB CA, 2022)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Ballistics and the Wrong Man Killed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Mohamed</w:t>
      </w:r>
      <w:r>
        <w:t xml:space="preserve"> </w:t>
      </w:r>
      <w:r>
        <w:t xml:space="preserve">(ON CA, 2025)</w:t>
      </w:r>
    </w:p>
    <w:bookmarkEnd w:id="28"/>
    <w:bookmarkStart w:id="29" w:name="part-vi-the-staged-scene"/>
    <w:p>
      <w:pPr>
        <w:pStyle w:val="Heading2"/>
      </w:pPr>
      <w:r>
        <w:t xml:space="preserve">PART VI — THE STAGED SCENE</w:t>
      </w:r>
    </w:p>
    <w:p>
      <w:pPr>
        <w:pStyle w:val="FirstParagraph"/>
      </w:pPr>
      <w:r>
        <w:rPr>
          <w:iCs/>
          <w:i/>
        </w:rPr>
        <w:t xml:space="preserve">Bloodstain patterns, bullet trajectory, and the physics that exposes a scene</w:t>
      </w:r>
      <w:r>
        <w:rPr>
          <w:iCs/>
          <w:i/>
        </w:rPr>
        <w:t xml:space="preserve"> </w:t>
      </w:r>
      <w:r>
        <w:rPr>
          <w:iCs/>
          <w:i/>
        </w:rPr>
        <w:t xml:space="preserve">dressed up to lie.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Judge, the Pistol, and the Angle That Didn’t Add Up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Delisle c. R.</w:t>
      </w:r>
      <w:r>
        <w:t xml:space="preserve"> </w:t>
      </w:r>
      <w:r>
        <w:t xml:space="preserve">(QC CA,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Staged Break-In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Klymchuk</w:t>
      </w:r>
      <w:r>
        <w:t xml:space="preserve"> </w:t>
      </w:r>
      <w:r>
        <w:t xml:space="preserve">(ON CA, 2005/2008)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Blood on the Stairs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Peterson</w:t>
      </w:r>
      <w:r>
        <w:t xml:space="preserve"> </w:t>
      </w:r>
      <w:r>
        <w:t xml:space="preserve">(Michael Peterson,</w:t>
      </w:r>
      <w:r>
        <w:t xml:space="preserve"> </w:t>
      </w:r>
      <w:r>
        <w:t xml:space="preserve">“</w:t>
      </w:r>
      <w:r>
        <w:t xml:space="preserve">The Staircase</w:t>
      </w:r>
      <w:r>
        <w:t xml:space="preserve">”</w:t>
      </w:r>
      <w:r>
        <w:t xml:space="preserve">) (N.C.,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Gun in the Dead Man’s Hand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Johnson v. State</w:t>
      </w:r>
      <w:r>
        <w:t xml:space="preserve"> </w:t>
      </w:r>
      <w:r>
        <w:t xml:space="preserve">(Tex., 2004) — no powder burns, no suicide</w:t>
      </w:r>
    </w:p>
    <w:bookmarkEnd w:id="29"/>
    <w:bookmarkStart w:id="30" w:name="part-vii-in-their-own-words"/>
    <w:p>
      <w:pPr>
        <w:pStyle w:val="Heading2"/>
      </w:pPr>
      <w:r>
        <w:t xml:space="preserve">PART VII — IN THEIR OWN WORDS</w:t>
      </w:r>
    </w:p>
    <w:p>
      <w:pPr>
        <w:pStyle w:val="FirstParagraph"/>
      </w:pPr>
      <w:r>
        <w:rPr>
          <w:iCs/>
          <w:i/>
        </w:rPr>
        <w:t xml:space="preserve">Confessions, undercover stings, wiretaps, and informants — the distinctively</w:t>
      </w:r>
      <w:r>
        <w:rPr>
          <w:iCs/>
          <w:i/>
        </w:rPr>
        <w:t xml:space="preserve"> </w:t>
      </w:r>
      <w:r>
        <w:rPr>
          <w:iCs/>
          <w:i/>
        </w:rPr>
        <w:t xml:space="preserve">Canadian art of getting a killer to talk.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Mr. Big: The Confession That Rewrote the Rules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Hart</w:t>
      </w:r>
      <w:r>
        <w:t xml:space="preserve"> </w:t>
      </w:r>
      <w:r>
        <w:t xml:space="preserve">(SCC, 2014)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When Mr. Big Holds Up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Mack</w:t>
      </w:r>
      <w:r>
        <w:t xml:space="preserve"> </w:t>
      </w:r>
      <w:r>
        <w:t xml:space="preserve">(SCC, 2014)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Fake Insurance Investigator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Kelly</w:t>
      </w:r>
      <w:r>
        <w:t xml:space="preserve"> </w:t>
      </w:r>
      <w:r>
        <w:t xml:space="preserve">(ON CA, 2017)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Sting That Went Too Far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Laflamme c. R.</w:t>
      </w:r>
      <w:r>
        <w:t xml:space="preserve"> </w:t>
      </w:r>
      <w:r>
        <w:t xml:space="preserve">(QC CA, 2015) 🔶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Tapped Phone and the Lure Call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Mapara</w:t>
      </w:r>
      <w:r>
        <w:t xml:space="preserve"> </w:t>
      </w:r>
      <w:r>
        <w:t xml:space="preserve">(SCC, 2005)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Word of Men Behind Bars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Brooks</w:t>
      </w:r>
      <w:r>
        <w:t xml:space="preserve"> </w:t>
      </w:r>
      <w:r>
        <w:t xml:space="preserve">(SCC, 2000)</w:t>
      </w:r>
    </w:p>
    <w:bookmarkEnd w:id="30"/>
    <w:bookmarkStart w:id="31" w:name="Xee8a3e9b4ed17f7532ab39afe0a6f8c27e1a71f"/>
    <w:p>
      <w:pPr>
        <w:pStyle w:val="Heading2"/>
      </w:pPr>
      <w:r>
        <w:t xml:space="preserve">PART VIII — WHEN THE SCIENCE LIES (AND WHEN IT SETS YOU FREE)</w:t>
      </w:r>
    </w:p>
    <w:p>
      <w:pPr>
        <w:pStyle w:val="FirstParagraph"/>
      </w:pPr>
      <w:r>
        <w:rPr>
          <w:iCs/>
          <w:i/>
        </w:rPr>
        <w:t xml:space="preserve">The dark counterpoint: forensic techniques that convicted the innocent — and the</w:t>
      </w:r>
      <w:r>
        <w:rPr>
          <w:iCs/>
          <w:i/>
        </w:rPr>
        <w:t xml:space="preserve"> </w:t>
      </w:r>
      <w:r>
        <w:rPr>
          <w:iCs/>
          <w:i/>
        </w:rPr>
        <w:t xml:space="preserve">science that later freed them. The reminder that evidence is only as honest as</w:t>
      </w:r>
      <w:r>
        <w:rPr>
          <w:iCs/>
          <w:i/>
        </w:rPr>
        <w:t xml:space="preserve"> </w:t>
      </w:r>
      <w:r>
        <w:rPr>
          <w:iCs/>
          <w:i/>
        </w:rPr>
        <w:t xml:space="preserve">the people wielding it.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Teeth That Caught Ted Bundy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Bundy v. State</w:t>
      </w:r>
      <w:r>
        <w:t xml:space="preserve"> </w:t>
      </w:r>
      <w:r>
        <w:t xml:space="preserve">(Fla., 1984) — bite marks at their most triumphant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Snaggletooth Exoneration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 </w:t>
      </w:r>
      <w:r>
        <w:t xml:space="preserve">(Ariz., 1995) 🔶 — the same science sends the wrong man to death row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Bite Marks, Formally Rejected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Howard v. State</w:t>
      </w:r>
      <w:r>
        <w:t xml:space="preserve"> </w:t>
      </w:r>
      <w:r>
        <w:t xml:space="preserve">(Miss., 2020) 🔶 — 26 years, then DNA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Flies That Never Came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Lobato v. State</w:t>
      </w:r>
      <w:r>
        <w:t xml:space="preserve"> </w:t>
      </w:r>
      <w:r>
        <w:t xml:space="preserve">(Nev., 2004) 🔶 — entomology clears the innocent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Boy, the Flies, and Forty-Eight Years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Truscott</w:t>
      </w:r>
      <w:r>
        <w:t xml:space="preserve"> </w:t>
      </w:r>
      <w:r>
        <w:t xml:space="preserve">(ON CA, 2007) 🔶 — the Canadian bookend</w:t>
      </w:r>
    </w:p>
    <w:p>
      <w:r>
        <w:pict>
          <v:rect style="width:0;height:1.5pt" o:hralign="center" o:hrstd="t" o:hr="t"/>
        </w:pict>
      </w:r>
    </w:p>
    <w:bookmarkEnd w:id="31"/>
    <w:bookmarkStart w:id="32" w:name="Xa52c047d5ca4c0c3d1f52e7756643f1a5fe6ea3"/>
    <w:p>
      <w:pPr>
        <w:pStyle w:val="Heading2"/>
      </w:pPr>
      <w:r>
        <w:t xml:space="preserve">APPENDIX — The Ones Without a Court of Appeal (Yet)</w:t>
      </w:r>
    </w:p>
    <w:p>
      <w:pPr>
        <w:pStyle w:val="FirstParagraph"/>
      </w:pPr>
      <w:r>
        <w:t xml:space="preserve">Techniques that have caught killers but lack a qualifying appellate decision —</w:t>
      </w:r>
      <w:r>
        <w:t xml:space="preserve"> </w:t>
      </w:r>
      <w:r>
        <w:t xml:space="preserve">plus leads to chase. See</w:t>
      </w:r>
      <w:r>
        <w:t xml:space="preserve"> </w:t>
      </w:r>
      <w:r>
        <w:rPr>
          <w:rStyle w:val="VerbatimChar"/>
        </w:rPr>
        <w:t xml:space="preserve">gaps-and-future-chapters.md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Legend: 🇨🇦 Canadian (CanLII) · 🇺🇸 American (Justia/CourtListener) · 🔶 contested,</w:t>
      </w:r>
      <w:r>
        <w:rPr>
          <w:iCs/>
          <w:i/>
        </w:rPr>
        <w:t xml:space="preserve"> </w:t>
      </w:r>
      <w:r>
        <w:rPr>
          <w:iCs/>
          <w:i/>
        </w:rPr>
        <w:t xml:space="preserve">reversed, suppressed, or inverted — a real story, told honestly. Verification</w:t>
      </w:r>
      <w:r>
        <w:rPr>
          <w:iCs/>
          <w:i/>
        </w:rPr>
        <w:t xml:space="preserve"> </w:t>
      </w:r>
      <w:r>
        <w:rPr>
          <w:iCs/>
          <w:i/>
        </w:rPr>
        <w:t xml:space="preserve">status per case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case-index.md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us-case-index.md</w:t>
      </w:r>
      <w:r>
        <w:rPr>
          <w:iCs/>
          <w:i/>
        </w:rPr>
        <w:t xml:space="preserve">; download list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citation-worklist.md</w:t>
      </w:r>
      <w:r>
        <w:rPr>
          <w:iCs/>
          <w:i/>
        </w:rPr>
        <w:t xml:space="preserve">.</w:t>
      </w:r>
    </w:p>
    <w:bookmarkEnd w:id="32"/>
    <w:bookmarkEnd w:id="33"/>
    <w:bookmarkStart w:id="40" w:name="X9203c5d96f35499ac85be75e6ac11cd798292f8"/>
    <w:p>
      <w:pPr>
        <w:pStyle w:val="Heading1"/>
      </w:pPr>
      <w:r>
        <w:t xml:space="preserve">Chapter 21 — Don’t Murder a Woman Wearing a Fitbit</w:t>
      </w:r>
    </w:p>
    <w:p>
      <w:pPr>
        <w:pStyle w:val="FirstParagraph"/>
      </w:pPr>
      <w:r>
        <w:rPr>
          <w:bCs/>
          <w:b/>
        </w:rPr>
        <w:t xml:space="preserve">Her husband told police she was already dead. Her Fitbit kept counting.</w:t>
      </w:r>
    </w:p>
    <w:p>
      <w:pPr>
        <w:pStyle w:val="BodyText"/>
      </w:pPr>
      <w:r>
        <w:t xml:space="preserve">Two days before Christmas 2015, Richard Dabate had a story ready.</w:t>
      </w:r>
    </w:p>
    <w:p>
      <w:pPr>
        <w:pStyle w:val="BodyText"/>
      </w:pPr>
      <w:r>
        <w:t xml:space="preserve">A man in camouflage, he told Connecticut State Police, had been hiding inside</w:t>
      </w:r>
      <w:r>
        <w:t xml:space="preserve"> </w:t>
      </w:r>
      <w:r>
        <w:t xml:space="preserve">his Ellington home. The intruder chased his wife Connie into the basement and</w:t>
      </w:r>
      <w:r>
        <w:t xml:space="preserve"> </w:t>
      </w:r>
      <w:r>
        <w:t xml:space="preserve">shot her with the Dabates’ own gun. Then he turned on Richard — zip-tied him to</w:t>
      </w:r>
      <w:r>
        <w:t xml:space="preserve"> </w:t>
      </w:r>
      <w:r>
        <w:t xml:space="preserve">a folding chair, cut him with a box cutter, burned him with a blowtorch — until</w:t>
      </w:r>
      <w:r>
        <w:t xml:space="preserve"> </w:t>
      </w:r>
      <w:r>
        <w:t xml:space="preserve">Richard heroically shoved the torch back toward the man’s face and drove him</w:t>
      </w:r>
      <w:r>
        <w:t xml:space="preserve"> </w:t>
      </w:r>
      <w:r>
        <w:t xml:space="preserve">off. Bleeding, bound, he triggered the home’s panic alarm and called 911.</w:t>
      </w:r>
    </w:p>
    <w:p>
      <w:pPr>
        <w:pStyle w:val="BodyText"/>
      </w:pPr>
      <w:r>
        <w:t xml:space="preserve">When officers arrived they found Connie’s body in the basement. They found the</w:t>
      </w:r>
      <w:r>
        <w:t xml:space="preserve"> </w:t>
      </w:r>
      <w:r>
        <w:t xml:space="preserve">gun. They found a butane torch, a box cutter, burnt debris, droplets of blood.</w:t>
      </w:r>
    </w:p>
    <w:p>
      <w:pPr>
        <w:pStyle w:val="BodyText"/>
      </w:pPr>
      <w:r>
        <w:t xml:space="preserve">They found, in other words, exactly the scene Richard had described.</w:t>
      </w:r>
    </w:p>
    <w:p>
      <w:pPr>
        <w:pStyle w:val="BodyText"/>
      </w:pPr>
      <w:r>
        <w:t xml:space="preserve">The problem was everything the scene couldn’t say — and one device that could.</w:t>
      </w:r>
    </w:p>
    <w:bookmarkStart w:id="34" w:name="X7b11d94e34298c01d860c15ea739cb0dfca6508"/>
    <w:p>
      <w:pPr>
        <w:pStyle w:val="Heading2"/>
      </w:pPr>
      <w:r>
        <w:t xml:space="preserve">The morning, as the machines remembered it</w:t>
      </w:r>
    </w:p>
    <w:p>
      <w:pPr>
        <w:pStyle w:val="FirstParagraph"/>
      </w:pPr>
      <w:r>
        <w:t xml:space="preserve">Here is the morning of December 23, 2015, as the jury ultimately found it — not</w:t>
      </w:r>
      <w:r>
        <w:t xml:space="preserve"> </w:t>
      </w:r>
      <w:r>
        <w:t xml:space="preserve">from any witness, but from the electronic wake the household left behind.</w:t>
      </w:r>
    </w:p>
    <w:p>
      <w:pPr>
        <w:pStyle w:val="BodyText"/>
      </w:pPr>
      <w:r>
        <w:t xml:space="preserve">Connie Dabate left for the gym at 8:46 a.m. Her class was cancelled, so she came</w:t>
      </w:r>
      <w:r>
        <w:t xml:space="preserve"> </w:t>
      </w:r>
      <w:r>
        <w:t xml:space="preserve">home at 9:18. She talked to her mother on the phone. She posted on Facebook. She</w:t>
      </w:r>
      <w:r>
        <w:t xml:space="preserve"> </w:t>
      </w:r>
      <w:r>
        <w:t xml:space="preserve">messaged a friend. An ordinary woman, running an ordinary errand, two days</w:t>
      </w:r>
      <w:r>
        <w:t xml:space="preserve"> </w:t>
      </w:r>
      <w:r>
        <w:t xml:space="preserve">before Christmas.</w:t>
      </w:r>
    </w:p>
    <w:p>
      <w:pPr>
        <w:pStyle w:val="BodyText"/>
      </w:pPr>
      <w:r>
        <w:t xml:space="preserve">Richard never left the house. In those same quiet morning hours, the home’s own</w:t>
      </w:r>
      <w:r>
        <w:t xml:space="preserve"> </w:t>
      </w:r>
      <w:r>
        <w:t xml:space="preserve">records caught him opening the basement door</w:t>
      </w:r>
      <w:r>
        <w:t xml:space="preserve"> </w:t>
      </w:r>
      <w:r>
        <w:rPr>
          <w:iCs/>
          <w:i/>
        </w:rPr>
        <w:t xml:space="preserve">eight times</w:t>
      </w:r>
      <w:r>
        <w:t xml:space="preserve">. Arming and</w:t>
      </w:r>
      <w:r>
        <w:t xml:space="preserve"> </w:t>
      </w:r>
      <w:r>
        <w:t xml:space="preserve">disarming the security system, again and again. At some point he walked outside</w:t>
      </w:r>
      <w:r>
        <w:t xml:space="preserve"> </w:t>
      </w:r>
      <w:r>
        <w:t xml:space="preserve">and placed his own wallet near the basement bulkhead stairs — set dressing for</w:t>
      </w:r>
      <w:r>
        <w:t xml:space="preserve"> </w:t>
      </w:r>
      <w:r>
        <w:t xml:space="preserve">the burglary to come. In between, he answered work emails and played music on</w:t>
      </w:r>
      <w:r>
        <w:t xml:space="preserve"> </w:t>
      </w:r>
      <w:r>
        <w:t xml:space="preserve">his phone. When he heard Connie come home earlier than he expected, he did</w:t>
      </w:r>
      <w:r>
        <w:t xml:space="preserve"> </w:t>
      </w:r>
      <w:r>
        <w:t xml:space="preserve">something almost unbearably mundane: he checked the gym schedule.</w:t>
      </w:r>
    </w:p>
    <w:p>
      <w:pPr>
        <w:pStyle w:val="BodyText"/>
      </w:pPr>
      <w:r>
        <w:t xml:space="preserve">At 10:05 a.m., he lured his wife down to the basement and shot her with a</w:t>
      </w:r>
      <w:r>
        <w:t xml:space="preserve"> </w:t>
      </w:r>
      <w:r>
        <w:t xml:space="preserve">pistol the couple had bought only two months earlier.</w:t>
      </w:r>
    </w:p>
    <w:p>
      <w:pPr>
        <w:pStyle w:val="BodyText"/>
      </w:pPr>
      <w:r>
        <w:t xml:space="preserve">We can put a time on it because Connie was wearing a Fitbit One clipped to her</w:t>
      </w:r>
      <w:r>
        <w:t xml:space="preserve"> </w:t>
      </w:r>
      <w:r>
        <w:t xml:space="preserve">hip — a device that does exactly one thing, tirelessly: it counts its wearer’s</w:t>
      </w:r>
      <w:r>
        <w:t xml:space="preserve"> </w:t>
      </w:r>
      <w:r>
        <w:t xml:space="preserve">steps, minute by minute. At 10:05 a.m., it stopped.</w:t>
      </w:r>
    </w:p>
    <w:bookmarkEnd w:id="34"/>
    <w:bookmarkStart w:id="35" w:name="Xe67b992d38f8a0f7b4654d7ff9a0bd5ed378ef7"/>
    <w:p>
      <w:pPr>
        <w:pStyle w:val="Heading2"/>
      </w:pPr>
      <w:r>
        <w:t xml:space="preserve">The story that couldn’t survive its own timeline</w:t>
      </w:r>
    </w:p>
    <w:p>
      <w:pPr>
        <w:pStyle w:val="FirstParagraph"/>
      </w:pPr>
      <w:r>
        <w:t xml:space="preserve">Richard’s account put a masked killer in the house while Connie fled for her</w:t>
      </w:r>
      <w:r>
        <w:t xml:space="preserve"> </w:t>
      </w:r>
      <w:r>
        <w:t xml:space="preserve">life. But her Fitbit — together with her Facebook activity — showed the jury</w:t>
      </w:r>
      <w:r>
        <w:t xml:space="preserve"> </w:t>
      </w:r>
      <w:r>
        <w:t xml:space="preserve">something devastating: Connie was alive, moving, posting, messaging,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the point where Richard’s story needed her to be dead. As the Connecticut</w:t>
      </w:r>
      <w:r>
        <w:t xml:space="preserve"> </w:t>
      </w:r>
      <w:r>
        <w:t xml:space="preserve">Supreme Court later put it, the electronic evidence</w:t>
      </w:r>
      <w:r>
        <w:t xml:space="preserve"> </w:t>
      </w:r>
      <w:r>
        <w:t xml:space="preserve">“</w:t>
      </w:r>
      <w:r>
        <w:t xml:space="preserve">demonstrated to the jury</w:t>
      </w:r>
      <w:r>
        <w:t xml:space="preserve"> </w:t>
      </w:r>
      <w:r>
        <w:t xml:space="preserve">that the victim was alive at the time that the defendant claimed that she had</w:t>
      </w:r>
      <w:r>
        <w:t xml:space="preserve"> </w:t>
      </w:r>
      <w:r>
        <w:t xml:space="preserve">been murdered by a third party.</w:t>
      </w:r>
      <w:r>
        <w:t xml:space="preserve">”</w:t>
      </w:r>
    </w:p>
    <w:p>
      <w:pPr>
        <w:pStyle w:val="BodyText"/>
      </w:pPr>
      <w:r>
        <w:t xml:space="preserve">The rest of the case fell in behind the timeline like iron filings behind a</w:t>
      </w:r>
      <w:r>
        <w:t xml:space="preserve"> </w:t>
      </w:r>
      <w:r>
        <w:t xml:space="preserve">magnet.</w:t>
      </w:r>
    </w:p>
    <w:p>
      <w:pPr>
        <w:pStyle w:val="BodyText"/>
      </w:pPr>
      <w:r>
        <w:t xml:space="preserve">A state police canine swept the house and found no scent of any third person.</w:t>
      </w:r>
      <w:r>
        <w:t xml:space="preserve"> </w:t>
      </w:r>
      <w:r>
        <w:t xml:space="preserve">The forensic laboratory found Richard’s DNA where the intruder’s should have</w:t>
      </w:r>
      <w:r>
        <w:t xml:space="preserve"> </w:t>
      </w:r>
      <w:r>
        <w:t xml:space="preserve">been: on the basement safe, on the back of the folding chair he’d been</w:t>
      </w:r>
      <w:r>
        <w:t xml:space="preserve"> </w:t>
      </w:r>
      <w:r>
        <w:t xml:space="preserve">“</w:t>
      </w:r>
      <w:r>
        <w:t xml:space="preserve">bound</w:t>
      </w:r>
      <w:r>
        <w:t xml:space="preserve">”</w:t>
      </w:r>
      <w:r>
        <w:t xml:space="preserve"> </w:t>
      </w:r>
      <w:r>
        <w:t xml:space="preserve">to, on the handle of the gun, on the box cutter. His zip ties were tied loose.</w:t>
      </w:r>
      <w:r>
        <w:t xml:space="preserve"> </w:t>
      </w:r>
      <w:r>
        <w:t xml:space="preserve">His wounds — thighs, chest, a finger — were the shallow geometry of</w:t>
      </w:r>
      <w:r>
        <w:t xml:space="preserve"> </w:t>
      </w:r>
      <w:r>
        <w:t xml:space="preserve">self-infliction, not torture.</w:t>
      </w:r>
    </w:p>
    <w:p>
      <w:pPr>
        <w:pStyle w:val="BodyText"/>
      </w:pPr>
      <w:r>
        <w:t xml:space="preserve">And then there was the motive, which Richard himself handed to detectives from</w:t>
      </w:r>
      <w:r>
        <w:t xml:space="preserve"> </w:t>
      </w:r>
      <w:r>
        <w:t xml:space="preserve">a bed at Hartford Hospital. For seven years he had been carrying on an affair</w:t>
      </w:r>
      <w:r>
        <w:t xml:space="preserve"> </w:t>
      </w:r>
      <w:r>
        <w:t xml:space="preserve">with a woman named Sara Ganzer. In June 2015 she became pregnant with his</w:t>
      </w:r>
      <w:r>
        <w:t xml:space="preserve"> </w:t>
      </w:r>
      <w:r>
        <w:t xml:space="preserve">child; he told her he was divorcing Connie and had already moved half his</w:t>
      </w:r>
      <w:r>
        <w:t xml:space="preserve"> </w:t>
      </w:r>
      <w:r>
        <w:t xml:space="preserve">things out. He was lying. He never called a divorce lawyer — a divorce, he</w:t>
      </w:r>
      <w:r>
        <w:t xml:space="preserve"> </w:t>
      </w:r>
      <w:r>
        <w:t xml:space="preserve">feared, would wreck him financially and detonate his family. When detectives</w:t>
      </w:r>
      <w:r>
        <w:t xml:space="preserve"> </w:t>
      </w:r>
      <w:r>
        <w:t xml:space="preserve">first asked, he floated an audacious cover story: he and Connie couldn’t have</w:t>
      </w:r>
      <w:r>
        <w:t xml:space="preserve"> </w:t>
      </w:r>
      <w:r>
        <w:t xml:space="preserve">another child, so Sara was carrying the baby as their</w:t>
      </w:r>
      <w:r>
        <w:t xml:space="preserve"> </w:t>
      </w:r>
      <w:r>
        <w:rPr>
          <w:iCs/>
          <w:i/>
        </w:rPr>
        <w:t xml:space="preserve">surrogate</w:t>
      </w:r>
      <w:r>
        <w:t xml:space="preserve">. Under</w:t>
      </w:r>
      <w:r>
        <w:t xml:space="preserve"> </w:t>
      </w:r>
      <w:r>
        <w:t xml:space="preserve">pressure, that collapsed into the truth. The detectives told him, almost</w:t>
      </w:r>
      <w:r>
        <w:t xml:space="preserve"> </w:t>
      </w:r>
      <w:r>
        <w:t xml:space="preserve">gently, that his account of the morning would be easy to check against the</w:t>
      </w:r>
      <w:r>
        <w:t xml:space="preserve"> </w:t>
      </w:r>
      <w:r>
        <w:t xml:space="preserve">electronic records. Richard asked for a lawyer.</w:t>
      </w:r>
    </w:p>
    <w:p>
      <w:pPr>
        <w:pStyle w:val="BodyText"/>
      </w:pPr>
      <w:r>
        <w:t xml:space="preserve">Sixteen months later he was arrested for murder.</w:t>
      </w:r>
    </w:p>
    <w:bookmarkEnd w:id="35"/>
    <w:bookmarkStart w:id="36" w:name="Xb2f571a3ce5b829599892b5c7bae5c141c375a5"/>
    <w:p>
      <w:pPr>
        <w:pStyle w:val="Heading2"/>
      </w:pPr>
      <w:r>
        <w:t xml:space="preserve">The science: making a step-counter testify</w:t>
      </w:r>
    </w:p>
    <w:p>
      <w:pPr>
        <w:pStyle w:val="FirstParagraph"/>
      </w:pPr>
      <w:r>
        <w:t xml:space="preserve">Getting a fitness tracker’s word into a murder trial is not automatic. Dabate’s</w:t>
      </w:r>
      <w:r>
        <w:t xml:space="preserve"> </w:t>
      </w:r>
      <w:r>
        <w:t xml:space="preserve">lawyers fought it hard, and the fight is what makes this case a landmark.</w:t>
      </w:r>
    </w:p>
    <w:p>
      <w:pPr>
        <w:pStyle w:val="BodyText"/>
      </w:pPr>
      <w:r>
        <w:t xml:space="preserve">Connecticut screens novel scientific evidence under</w:t>
      </w:r>
      <w:r>
        <w:t xml:space="preserve"> </w:t>
      </w:r>
      <w:r>
        <w:rPr>
          <w:iCs/>
          <w:i/>
        </w:rPr>
        <w:t xml:space="preserve">State v. Porter</w:t>
      </w:r>
      <w:r>
        <w:t xml:space="preserve"> </w:t>
      </w:r>
      <w:r>
        <w:t xml:space="preserve">— its</w:t>
      </w:r>
      <w:r>
        <w:t xml:space="preserve"> </w:t>
      </w:r>
      <w:r>
        <w:t xml:space="preserve">version of the federal</w:t>
      </w:r>
      <w:r>
        <w:t xml:space="preserve"> </w:t>
      </w:r>
      <w:r>
        <w:rPr>
          <w:iCs/>
          <w:i/>
        </w:rPr>
        <w:t xml:space="preserve">Daubert</w:t>
      </w:r>
      <w:r>
        <w:t xml:space="preserve"> </w:t>
      </w:r>
      <w:r>
        <w:t xml:space="preserve">standard. Before the Fitbit data could reach</w:t>
      </w:r>
      <w:r>
        <w:t xml:space="preserve"> </w:t>
      </w:r>
      <w:r>
        <w:t xml:space="preserve">the jury, a judge had to be satisfied the technology was genuinely reliable:</w:t>
      </w:r>
      <w:r>
        <w:t xml:space="preserve"> </w:t>
      </w:r>
      <w:r>
        <w:t xml:space="preserve">tested, peer-reviewed, accepted in the scientific community, not something</w:t>
      </w:r>
      <w:r>
        <w:t xml:space="preserve"> </w:t>
      </w:r>
      <w:r>
        <w:t xml:space="preserve">cooked up for courtrooms.</w:t>
      </w:r>
    </w:p>
    <w:p>
      <w:pPr>
        <w:pStyle w:val="BodyText"/>
      </w:pPr>
      <w:r>
        <w:t xml:space="preserve">The state’s answer was Keith Diaz, a professor of behavioral medicine at</w:t>
      </w:r>
      <w:r>
        <w:t xml:space="preserve"> </w:t>
      </w:r>
      <w:r>
        <w:t xml:space="preserve">Columbia University Medical Center and director of its Wearable Device Reading</w:t>
      </w:r>
      <w:r>
        <w:t xml:space="preserve"> </w:t>
      </w:r>
      <w:r>
        <w:t xml:space="preserve">Center. Diaz had run an NIH-funded validation study of consumer fitness</w:t>
      </w:r>
      <w:r>
        <w:t xml:space="preserve"> </w:t>
      </w:r>
      <w:r>
        <w:t xml:space="preserve">trackers, and his findings were quietly remarkable: the Fitbit is</w:t>
      </w:r>
      <w:r>
        <w:t xml:space="preserve"> </w:t>
      </w:r>
      <w:r>
        <w:rPr>
          <w:iCs/>
          <w:i/>
        </w:rPr>
        <w:t xml:space="preserve">very</w:t>
      </w:r>
      <w:r>
        <w:t xml:space="preserve"> </w:t>
      </w:r>
      <w:r>
        <w:t xml:space="preserve">accurate at counting steps — more accurate, in fact, than the Actical, a</w:t>
      </w:r>
      <w:r>
        <w:t xml:space="preserve"> </w:t>
      </w:r>
      <w:r>
        <w:t xml:space="preserve">research-grade device scientists use. And it is at its most accurate when worn</w:t>
      </w:r>
      <w:r>
        <w:t xml:space="preserve"> </w:t>
      </w:r>
      <w:r>
        <w:t xml:space="preserve">on the hip.</w:t>
      </w:r>
    </w:p>
    <w:p>
      <w:pPr>
        <w:pStyle w:val="BodyText"/>
      </w:pPr>
      <w:r>
        <w:t xml:space="preserve">Connie wore hers on her hip.</w:t>
      </w:r>
    </w:p>
    <w:p>
      <w:pPr>
        <w:pStyle w:val="BodyText"/>
      </w:pPr>
      <w:r>
        <w:t xml:space="preserve">The defense’s best punch was a clever one: Diaz couldn’t explain Fitbit’s</w:t>
      </w:r>
      <w:r>
        <w:t xml:space="preserve"> </w:t>
      </w:r>
      <w:r>
        <w:t xml:space="preserve">proprietary internal algorithm — the secret code that turns raw motion into a</w:t>
      </w:r>
      <w:r>
        <w:t xml:space="preserve"> </w:t>
      </w:r>
      <w:r>
        <w:t xml:space="preserve">step count. If the expert can’t open the black box, how can the court trust</w:t>
      </w:r>
      <w:r>
        <w:t xml:space="preserve"> </w:t>
      </w:r>
      <w:r>
        <w:t xml:space="preserve">what comes out of it? The Connecticut Supreme Court’s answer will echo through</w:t>
      </w:r>
      <w:r>
        <w:t xml:space="preserve"> </w:t>
      </w:r>
      <w:r>
        <w:t xml:space="preserve">every device case to come: an expert doesn’t need the source code to prove a</w:t>
      </w:r>
      <w:r>
        <w:t xml:space="preserve"> </w:t>
      </w:r>
      <w:r>
        <w:t xml:space="preserve">machine’s output is reliable, any more than he needs Ford’s blueprints to</w:t>
      </w:r>
      <w:r>
        <w:t xml:space="preserve"> </w:t>
      </w:r>
      <w:r>
        <w:t xml:space="preserve">testify that a speedometer works. What matters is validation — testing the</w:t>
      </w:r>
      <w:r>
        <w:t xml:space="preserve"> </w:t>
      </w:r>
      <w:r>
        <w:t xml:space="preserve">device against ground truth, publishing the results, letting other scientists</w:t>
      </w:r>
      <w:r>
        <w:t xml:space="preserve"> </w:t>
      </w:r>
      <w:r>
        <w:t xml:space="preserve">tear at them.</w:t>
      </w:r>
    </w:p>
    <w:p>
      <w:pPr>
        <w:pStyle w:val="BodyText"/>
      </w:pPr>
      <w:r>
        <w:t xml:space="preserve">The jury convicted Richard Dabate of murder, tampering with evidence, and</w:t>
      </w:r>
      <w:r>
        <w:t xml:space="preserve"> </w:t>
      </w:r>
      <w:r>
        <w:t xml:space="preserve">making a false statement. He was sentenced to sixty-five years. In March 2025,</w:t>
      </w:r>
      <w:r>
        <w:t xml:space="preserve"> </w:t>
      </w:r>
      <w:r>
        <w:t xml:space="preserve">the Connecticut Supreme Court affirmed it all — even while scolding the</w:t>
      </w:r>
      <w:r>
        <w:t xml:space="preserve"> </w:t>
      </w:r>
      <w:r>
        <w:t xml:space="preserve">prosecutor for four separate instances of courtroom impropriety, including the</w:t>
      </w:r>
      <w:r>
        <w:t xml:space="preserve"> </w:t>
      </w:r>
      <w:r>
        <w:t xml:space="preserve">moment he asked Dabate whether he’d been</w:t>
      </w:r>
      <w:r>
        <w:t xml:space="preserve"> </w:t>
      </w:r>
      <w:r>
        <w:t xml:space="preserve">“</w:t>
      </w:r>
      <w:r>
        <w:t xml:space="preserve">trying to create a little mini</w:t>
      </w:r>
      <w:r>
        <w:t xml:space="preserve"> </w:t>
      </w:r>
      <w:r>
        <w:t xml:space="preserve">Cheshire scene,</w:t>
      </w:r>
      <w:r>
        <w:t xml:space="preserve">”</w:t>
      </w:r>
      <w:r>
        <w:t xml:space="preserve"> </w:t>
      </w:r>
      <w:r>
        <w:t xml:space="preserve">a forbidden reference to Connecticut’s most notorious real</w:t>
      </w:r>
      <w:r>
        <w:t xml:space="preserve"> </w:t>
      </w:r>
      <w:r>
        <w:t xml:space="preserve">home invasion. The improprieties were real, the court held; the case against</w:t>
      </w:r>
      <w:r>
        <w:t xml:space="preserve"> </w:t>
      </w:r>
      <w:r>
        <w:t xml:space="preserve">Dabate was simply overwhelming with or without them.</w:t>
      </w:r>
    </w:p>
    <w:bookmarkEnd w:id="36"/>
    <w:bookmarkStart w:id="39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staged a home invasion for an audience of police officers — and forgot the</w:t>
      </w:r>
      <w:r>
        <w:t xml:space="preserve"> </w:t>
      </w:r>
      <w:r>
        <w:t xml:space="preserve">other witnesses in the house. The security panel logged his rehearsal. Facebook</w:t>
      </w:r>
      <w:r>
        <w:t xml:space="preserve"> </w:t>
      </w:r>
      <w:r>
        <w:t xml:space="preserve">logged his wife’s final ordinary hour. And a $99 step-counter on her hip logged</w:t>
      </w:r>
      <w:r>
        <w:t xml:space="preserve"> </w:t>
      </w:r>
      <w:r>
        <w:t xml:space="preserve">the exact minute her life ended, an hour out of sync with the story her husband</w:t>
      </w:r>
      <w:r>
        <w:t xml:space="preserve"> </w:t>
      </w:r>
      <w:r>
        <w:t xml:space="preserve">was already telling. Richard Dabate built an alibi out of words. Connie’s</w:t>
      </w:r>
      <w:r>
        <w:t xml:space="preserve"> </w:t>
      </w:r>
      <w:r>
        <w:t xml:space="preserve">Fitbit outlived it.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</w:t>
      </w:r>
      <w:r>
        <w:t xml:space="preserve"> </w:t>
      </w:r>
      <w:r>
        <w:t xml:space="preserve">(SC 20749), Connecticut Supreme Court, decided March 11, 2025.</w:t>
      </w:r>
      <w:r>
        <w:t xml:space="preserve"> </w:t>
      </w:r>
      <w:r>
        <w:t xml:space="preserve">Free online:</w:t>
      </w:r>
      <w:r>
        <w:t xml:space="preserve"> </w:t>
      </w:r>
      <w:hyperlink r:id="rId37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slip opinion via the</w:t>
      </w:r>
      <w:r>
        <w:t xml:space="preserve"> </w:t>
      </w:r>
      <w:hyperlink r:id="rId38">
        <w:r>
          <w:rPr>
            <w:rStyle w:val="Hyperlink"/>
          </w:rPr>
          <w:t xml:space="preserve">Connecticut Judicial Branch</w:t>
        </w:r>
      </w:hyperlink>
      <w:r>
        <w:t xml:space="preserve">.</w:t>
      </w:r>
      <w:r>
        <w:t xml:space="preserve"> </w:t>
      </w:r>
      <w:r>
        <w:t xml:space="preserve">The factual matrix is set out at the opening of the opinion; the Fitbit</w:t>
      </w:r>
      <w:r>
        <w:t xml:space="preserve"> </w:t>
      </w:r>
      <w:r>
        <w:t xml:space="preserve">admissibility ruling is Part II.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31">
    <w:nsid w:val="A994131"/>
    <w:multiLevelType w:val="multilevel"/>
    <w:lvl w:ilvl="0">
      <w:start w:val="31"/>
      <w:numFmt w:val="decimal"/>
      <w:lvlText w:val="%1."/>
      <w:lvlJc w:val="left"/>
      <w:pPr>
        <w:ind w:left="720" w:hanging="480"/>
      </w:pPr>
    </w:lvl>
    <w:lvl w:ilvl="1">
      <w:start w:val="31"/>
      <w:numFmt w:val="decimal"/>
      <w:lvlText w:val="%2."/>
      <w:lvlJc w:val="left"/>
      <w:pPr>
        <w:ind w:left="1440" w:hanging="480"/>
      </w:pPr>
    </w:lvl>
    <w:lvl w:ilvl="2">
      <w:start w:val="31"/>
      <w:numFmt w:val="decimal"/>
      <w:lvlText w:val="%3."/>
      <w:lvlJc w:val="left"/>
      <w:pPr>
        <w:ind w:left="2160" w:hanging="480"/>
      </w:pPr>
    </w:lvl>
    <w:lvl w:ilvl="3">
      <w:start w:val="31"/>
      <w:numFmt w:val="decimal"/>
      <w:lvlText w:val="%4."/>
      <w:lvlJc w:val="left"/>
      <w:pPr>
        <w:ind w:left="2880" w:hanging="480"/>
      </w:pPr>
    </w:lvl>
    <w:lvl w:ilvl="4">
      <w:start w:val="31"/>
      <w:numFmt w:val="decimal"/>
      <w:lvlText w:val="%5."/>
      <w:lvlJc w:val="left"/>
      <w:pPr>
        <w:ind w:left="3600" w:hanging="480"/>
      </w:pPr>
    </w:lvl>
    <w:lvl w:ilvl="5">
      <w:start w:val="31"/>
      <w:numFmt w:val="decimal"/>
      <w:lvlText w:val="%6."/>
      <w:lvlJc w:val="left"/>
      <w:pPr>
        <w:ind w:left="4320" w:hanging="480"/>
      </w:pPr>
    </w:lvl>
    <w:lvl w:ilvl="6">
      <w:start w:val="31"/>
      <w:numFmt w:val="decimal"/>
      <w:lvlText w:val="%7."/>
      <w:lvlJc w:val="left"/>
      <w:pPr>
        <w:ind w:left="5040" w:hanging="480"/>
      </w:pPr>
    </w:lvl>
    <w:lvl w:ilvl="7">
      <w:start w:val="31"/>
      <w:numFmt w:val="decimal"/>
      <w:lvlText w:val="%8."/>
      <w:lvlJc w:val="left"/>
      <w:pPr>
        <w:ind w:left="5760" w:hanging="480"/>
      </w:pPr>
    </w:lvl>
    <w:lvl w:ilvl="8">
      <w:start w:val="31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6">
    <w:abstractNumId w:val="991"/>
  </w:num>
  <w:num w:numId="1007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8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09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  <w:num w:numId="1010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law.justia.com/cases/connecticut/supreme-court/2025/sc20749.html" TargetMode="External" /><Relationship Type="http://schemas.openxmlformats.org/officeDocument/2006/relationships/hyperlink" Id="rId38" Target="https://www.jud.ct.g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law.justia.com/cases/connecticut/supreme-court/2025/sc20749.html" TargetMode="External" /><Relationship Type="http://schemas.openxmlformats.org/officeDocument/2006/relationships/hyperlink" Id="rId38" Target="https://www.jud.ct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2026-07-02T12:08:59Z</dcterms:created>
  <dcterms:modified xsi:type="dcterms:W3CDTF">2026-07-02T12:08:59Z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