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2481cf3d42f24a4481acf69b16913fb2b74ae2"/>
    <w:p>
      <w:pPr>
        <w:pStyle w:val="Heading1"/>
      </w:pPr>
      <w:r>
        <w:t xml:space="preserve">Chapter 17 - The Girl Who Never Held the Knife</w:t>
      </w:r>
    </w:p>
    <w:p>
      <w:pPr>
        <w:pStyle w:val="FirstParagraph"/>
      </w:pPr>
      <w:r>
        <w:rPr>
          <w:bCs/>
          <w:b/>
        </w:rPr>
        <w:t xml:space="preserve">She was fifteen. She never met the victim, never went to the scene, never</w:t>
      </w:r>
      <w:r>
        <w:rPr>
          <w:bCs/>
          <w:b/>
        </w:rPr>
        <w:t xml:space="preserve"> </w:t>
      </w:r>
      <w:r>
        <w:rPr>
          <w:bCs/>
          <w:b/>
        </w:rPr>
        <w:t xml:space="preserve">touched the weapon. She committed the murder entirely through a screen, and the</w:t>
      </w:r>
      <w:r>
        <w:rPr>
          <w:bCs/>
          <w:b/>
        </w:rPr>
        <w:t xml:space="preserve"> </w:t>
      </w:r>
      <w:r>
        <w:rPr>
          <w:bCs/>
          <w:b/>
        </w:rPr>
        <w:t xml:space="preserve">law agreed that made it hers.</w:t>
      </w:r>
    </w:p>
    <w:p>
      <w:pPr>
        <w:pStyle w:val="BodyText"/>
      </w:pPr>
      <w:r>
        <w:t xml:space="preserve">On New Year’s Day 2008, a seventeen-year-old named David Bagshaw stabbed</w:t>
      </w:r>
      <w:r>
        <w:t xml:space="preserve"> </w:t>
      </w:r>
      <w:r>
        <w:t xml:space="preserve">fourteen-year-old Stefanie Rengel to death in the snow outside her Toronto home.</w:t>
      </w:r>
      <w:r>
        <w:t xml:space="preserve"> </w:t>
      </w:r>
      <w:r>
        <w:t xml:space="preserve">He held the knife. He was tried separately, and he was convicted of first-degree</w:t>
      </w:r>
      <w:r>
        <w:t xml:space="preserve"> </w:t>
      </w:r>
      <w:r>
        <w:t xml:space="preserve">murder.</w:t>
      </w:r>
    </w:p>
    <w:p>
      <w:pPr>
        <w:pStyle w:val="BodyText"/>
      </w:pPr>
      <w:r>
        <w:t xml:space="preserve">But the person the Crown placed at the true center of this killing was not at the</w:t>
      </w:r>
      <w:r>
        <w:t xml:space="preserve"> </w:t>
      </w:r>
      <w:r>
        <w:t xml:space="preserve">scene when it happened. She had never met Stefanie Rengel. She was fifteen years</w:t>
      </w:r>
      <w:r>
        <w:t xml:space="preserve"> </w:t>
      </w:r>
      <w:r>
        <w:t xml:space="preserve">old, she was David Bagshaw’s girlfriend, and her name was Melissa Todorovic. The</w:t>
      </w:r>
      <w:r>
        <w:t xml:space="preserve"> </w:t>
      </w:r>
      <w:r>
        <w:t xml:space="preserve">theory of the case, which a jury would accept, was that she had counselled and</w:t>
      </w:r>
      <w:r>
        <w:t xml:space="preserve"> </w:t>
      </w:r>
      <w:r>
        <w:t xml:space="preserve">encouraged Bagshaw to commit the murder, that the crime had been conceived and</w:t>
      </w:r>
      <w:r>
        <w:t xml:space="preserve"> </w:t>
      </w:r>
      <w:r>
        <w:t xml:space="preserve">driven by her, and that the boy in the snow with the knife had been, in a sense,</w:t>
      </w:r>
      <w:r>
        <w:t xml:space="preserve"> </w:t>
      </w:r>
      <w:r>
        <w:t xml:space="preserve">her instrument.</w:t>
      </w:r>
    </w:p>
    <w:p>
      <w:pPr>
        <w:pStyle w:val="BodyText"/>
      </w:pPr>
      <w:r>
        <w:t xml:space="preserve">The proof of it was a record of things Melissa Todorovic typed.</w:t>
      </w:r>
    </w:p>
    <w:bookmarkStart w:id="20" w:name="a-murder-authored-by-message"/>
    <w:p>
      <w:pPr>
        <w:pStyle w:val="Heading2"/>
      </w:pPr>
      <w:r>
        <w:t xml:space="preserve">A murder authored by message</w:t>
      </w:r>
    </w:p>
    <w:p>
      <w:pPr>
        <w:pStyle w:val="FirstParagraph"/>
      </w:pPr>
      <w:r>
        <w:t xml:space="preserve">The Court of Appeal for Ontario describes a Crown case</w:t>
      </w:r>
      <w:r>
        <w:t xml:space="preserve"> </w:t>
      </w:r>
      <w:r>
        <w:t xml:space="preserve">“</w:t>
      </w:r>
      <w:r>
        <w:t xml:space="preserve">based on a large body of</w:t>
      </w:r>
      <w:r>
        <w:t xml:space="preserve"> </w:t>
      </w:r>
      <w:r>
        <w:t xml:space="preserve">circumstantial evidence including computer chats by the appellant with Bagshaw</w:t>
      </w:r>
      <w:r>
        <w:t xml:space="preserve"> </w:t>
      </w:r>
      <w:r>
        <w:t xml:space="preserve">and others.</w:t>
      </w:r>
      <w:r>
        <w:t xml:space="preserve">”</w:t>
      </w:r>
      <w:r>
        <w:t xml:space="preserve"> </w:t>
      </w:r>
      <w:r>
        <w:t xml:space="preserve">Those messages, the Crown argued, revealed a girl consumed by</w:t>
      </w:r>
      <w:r>
        <w:t xml:space="preserve"> </w:t>
      </w:r>
      <w:r>
        <w:t xml:space="preserve">jealousy of Stefanie Rengel, who had briefly dated Bagshaw years before. The</w:t>
      </w:r>
      <w:r>
        <w:t xml:space="preserve"> </w:t>
      </w:r>
      <w:r>
        <w:t xml:space="preserve">jealousy was not a passing sulk. It was a campaign, conducted keystroke by</w:t>
      </w:r>
      <w:r>
        <w:t xml:space="preserve"> </w:t>
      </w:r>
      <w:r>
        <w:t xml:space="preserve">keystroke, to press Bagshaw into removing the girl she had cast as her rival.</w:t>
      </w:r>
    </w:p>
    <w:p>
      <w:pPr>
        <w:pStyle w:val="BodyText"/>
      </w:pPr>
      <w:r>
        <w:t xml:space="preserve">How relentless that pressure became is captured in a single earlier incident the</w:t>
      </w:r>
      <w:r>
        <w:t xml:space="preserve"> </w:t>
      </w:r>
      <w:r>
        <w:t xml:space="preserve">judgment records, one that happened roughly three months before the killing.</w:t>
      </w:r>
      <w:r>
        <w:t xml:space="preserve"> </w:t>
      </w:r>
      <w:r>
        <w:t xml:space="preserve">Bagshaw went to Stefanie Rengel’s home and told her, to her face, that his</w:t>
      </w:r>
      <w:r>
        <w:t xml:space="preserve"> </w:t>
      </w:r>
      <w:r>
        <w:t xml:space="preserve">girlfriend wanted him to stab her. He laid out the plan: he would leave his cell</w:t>
      </w:r>
      <w:r>
        <w:t xml:space="preserve"> </w:t>
      </w:r>
      <w:r>
        <w:t xml:space="preserve">phone behind to make it look as though he’d been interrupted mid-attempt, and he</w:t>
      </w:r>
      <w:r>
        <w:t xml:space="preserve"> </w:t>
      </w:r>
      <w:r>
        <w:t xml:space="preserve">wanted Stefanie herself to confirm to his girlfriend that he had tried, so that</w:t>
      </w:r>
      <w:r>
        <w:t xml:space="preserve"> </w:t>
      </w:r>
      <w:r>
        <w:t xml:space="preserve">the girlfriend would finally let the matter drop. Sit with the arithmetic of</w:t>
      </w:r>
      <w:r>
        <w:t xml:space="preserve"> </w:t>
      </w:r>
      <w:r>
        <w:t xml:space="preserve">that. A fourteen-year-old girl was being informed, in person, that another girl</w:t>
      </w:r>
      <w:r>
        <w:t xml:space="preserve"> </w:t>
      </w:r>
      <w:r>
        <w:t xml:space="preserve">she had never harmed was demanding her death, and was being asked to help fake the</w:t>
      </w:r>
      <w:r>
        <w:t xml:space="preserve"> </w:t>
      </w:r>
      <w:r>
        <w:t xml:space="preserve">attempt in order to satisfy that demand.</w:t>
      </w:r>
    </w:p>
    <w:p>
      <w:pPr>
        <w:pStyle w:val="BodyText"/>
      </w:pPr>
      <w:r>
        <w:t xml:space="preserve">Stefanie told her mother. Her mother and stepfather, both, as it happens, Toronto</w:t>
      </w:r>
      <w:r>
        <w:t xml:space="preserve"> </w:t>
      </w:r>
      <w:r>
        <w:t xml:space="preserve">police officers, confronted Bagshaw and warned him and his girlfriend to stay</w:t>
      </w:r>
      <w:r>
        <w:t xml:space="preserve"> </w:t>
      </w:r>
      <w:r>
        <w:t xml:space="preserve">away from their daughter.</w:t>
      </w:r>
    </w:p>
    <w:p>
      <w:pPr>
        <w:pStyle w:val="BodyText"/>
      </w:pPr>
      <w:r>
        <w:t xml:space="preserve">They did not stay away. Three months later, on the first day of the new year,</w:t>
      </w:r>
      <w:r>
        <w:t xml:space="preserve"> </w:t>
      </w:r>
      <w:r>
        <w:t xml:space="preserve">Bagshaw carried out what the messages had been driving toward all along.</w:t>
      </w:r>
    </w:p>
    <w:bookmarkEnd w:id="20"/>
    <w:bookmarkStart w:id="21" w:name="the-screen-and-the-confession"/>
    <w:p>
      <w:pPr>
        <w:pStyle w:val="Heading2"/>
      </w:pPr>
      <w:r>
        <w:t xml:space="preserve">The screen and the confession</w:t>
      </w:r>
    </w:p>
    <w:p>
      <w:pPr>
        <w:pStyle w:val="FirstParagraph"/>
      </w:pPr>
      <w:r>
        <w:t xml:space="preserve">After the killing, Melissa Todorovic did two things that helped seal her own case,</w:t>
      </w:r>
      <w:r>
        <w:t xml:space="preserve"> </w:t>
      </w:r>
      <w:r>
        <w:t xml:space="preserve">and both, fittingly, were acts of communication.</w:t>
      </w:r>
    </w:p>
    <w:p>
      <w:pPr>
        <w:pStyle w:val="BodyText"/>
      </w:pPr>
      <w:r>
        <w:t xml:space="preserve">First, she called Bagshaw. A friend of his who overheard part of that call</w:t>
      </w:r>
      <w:r>
        <w:t xml:space="preserve"> </w:t>
      </w:r>
      <w:r>
        <w:t xml:space="preserve">testified that Todorovic asked him a single, chilling question:</w:t>
      </w:r>
      <w:r>
        <w:t xml:space="preserve"> </w:t>
      </w:r>
      <w:r>
        <w:t xml:space="preserve">“</w:t>
      </w:r>
      <w:r>
        <w:t xml:space="preserve">Did you do it?</w:t>
      </w:r>
      <w:r>
        <w:t xml:space="preserve">”</w:t>
      </w:r>
      <w:r>
        <w:t xml:space="preserve"> </w:t>
      </w:r>
      <w:r>
        <w:t xml:space="preserve">It is the question of someone waiting to hear that an instruction has been carried</w:t>
      </w:r>
      <w:r>
        <w:t xml:space="preserve"> </w:t>
      </w:r>
      <w:r>
        <w:t xml:space="preserve">out.</w:t>
      </w:r>
    </w:p>
    <w:p>
      <w:pPr>
        <w:pStyle w:val="BodyText"/>
      </w:pPr>
      <w:r>
        <w:t xml:space="preserve">Second, when the police interviewed her, she eventually made an incriminating</w:t>
      </w:r>
      <w:r>
        <w:t xml:space="preserve"> </w:t>
      </w:r>
      <w:r>
        <w:t xml:space="preserve">statement to the effect that she had asked Bagshaw to kill Stefanie Rengel. Much</w:t>
      </w:r>
      <w:r>
        <w:t xml:space="preserve"> </w:t>
      </w:r>
      <w:r>
        <w:t xml:space="preserve">of the appeal, in fact, turns on the admissibility of that statement and a second</w:t>
      </w:r>
      <w:r>
        <w:t xml:space="preserve"> </w:t>
      </w:r>
      <w:r>
        <w:t xml:space="preserve">one, on whether a fifteen-year-old had been properly given her rights under the</w:t>
      </w:r>
      <w:r>
        <w:t xml:space="preserve"> </w:t>
      </w:r>
      <w:r>
        <w:t xml:space="preserve">Youth Criminal Justice Act and whether she had been detained at the moment she</w:t>
      </w:r>
      <w:r>
        <w:t xml:space="preserve"> </w:t>
      </w:r>
      <w:r>
        <w:t xml:space="preserve">confessed. The Court of Appeal worked carefully through those protections, which</w:t>
      </w:r>
      <w:r>
        <w:t xml:space="preserve"> </w:t>
      </w:r>
      <w:r>
        <w:t xml:space="preserve">exist precisely because the person under questioning was a child, and upheld the</w:t>
      </w:r>
      <w:r>
        <w:t xml:space="preserve"> </w:t>
      </w:r>
      <w:r>
        <w:t xml:space="preserve">trial judge’s rulings.</w:t>
      </w:r>
    </w:p>
    <w:p>
      <w:pPr>
        <w:pStyle w:val="BodyText"/>
      </w:pPr>
      <w:r>
        <w:t xml:space="preserve">A jury convicted Melissa Todorovic of first-degree murder. The trial judge ordered</w:t>
      </w:r>
      <w:r>
        <w:t xml:space="preserve"> </w:t>
      </w:r>
      <w:r>
        <w:t xml:space="preserve">that she, fifteen at the time of the crime, be sentenced as an adult: life</w:t>
      </w:r>
      <w:r>
        <w:t xml:space="preserve"> </w:t>
      </w:r>
      <w:r>
        <w:t xml:space="preserve">imprisonment with no parole eligibility for seven years. She appealed both the</w:t>
      </w:r>
      <w:r>
        <w:t xml:space="preserve"> </w:t>
      </w:r>
      <w:r>
        <w:t xml:space="preserve">conviction and the sentence, and in February 2014 the Court of Appeal dismissed</w:t>
      </w:r>
      <w:r>
        <w:t xml:space="preserve"> </w:t>
      </w:r>
      <w:r>
        <w:t xml:space="preserve">both. The sentencing judge had been entitled to find she remained dangerous, the</w:t>
      </w:r>
      <w:r>
        <w:t xml:space="preserve"> </w:t>
      </w:r>
      <w:r>
        <w:t xml:space="preserve">court held. The murder had grown out of what it called</w:t>
      </w:r>
      <w:r>
        <w:t xml:space="preserve"> </w:t>
      </w:r>
      <w:r>
        <w:t xml:space="preserve">“</w:t>
      </w:r>
      <w:r>
        <w:t xml:space="preserve">the appellant’s distorted</w:t>
      </w:r>
      <w:r>
        <w:t xml:space="preserve"> </w:t>
      </w:r>
      <w:r>
        <w:t xml:space="preserve">view of her relationship with Bagshaw.</w:t>
      </w:r>
      <w:r>
        <w:t xml:space="preserve">”</w:t>
      </w:r>
      <w:r>
        <w:t xml:space="preserve"> </w:t>
      </w:r>
      <w:r>
        <w:t xml:space="preserve">She had shown no empathy for the girl she</w:t>
      </w:r>
      <w:r>
        <w:t xml:space="preserve"> </w:t>
      </w:r>
      <w:r>
        <w:t xml:space="preserve">had helped kill, and she still, the record indicated, harboured thoughts of</w:t>
      </w:r>
      <w:r>
        <w:t xml:space="preserve"> </w:t>
      </w:r>
      <w:r>
        <w:t xml:space="preserve">hurting others.</w:t>
      </w:r>
    </w:p>
    <w:p>
      <w:pPr>
        <w:pStyle w:val="BodyText"/>
      </w:pPr>
      <w:r>
        <w:rPr>
          <w:iCs/>
          <w:i/>
        </w:rPr>
        <w:t xml:space="preserve">(A note on sourcing: this appeal decision is concerned chiefly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admissibility of Todorovic’s police statements and her adult sentence, so it</w:t>
      </w:r>
      <w:r>
        <w:rPr>
          <w:iCs/>
          <w:i/>
        </w:rPr>
        <w:t xml:space="preserve"> </w:t>
      </w:r>
      <w:r>
        <w:rPr>
          <w:iCs/>
          <w:i/>
        </w:rPr>
        <w:t xml:space="preserve">summarizes the messaging evidence rather than quoting it at length. The granular</w:t>
      </w:r>
      <w:r>
        <w:rPr>
          <w:iCs/>
          <w:i/>
        </w:rPr>
        <w:t xml:space="preserve"> </w:t>
      </w:r>
      <w:r>
        <w:rPr>
          <w:iCs/>
          <w:i/>
        </w:rPr>
        <w:t xml:space="preserve">content of the chats, aired at length during the trial, lives in the trial record.</w:t>
      </w:r>
      <w:r>
        <w:rPr>
          <w:iCs/>
          <w:i/>
        </w:rPr>
        <w:t xml:space="preserve"> </w:t>
      </w:r>
      <w:r>
        <w:rPr>
          <w:iCs/>
          <w:i/>
        </w:rPr>
        <w:t xml:space="preserve">This chapter stays within what the appellate judgment establishes.)</w:t>
      </w:r>
    </w:p>
    <w:bookmarkEnd w:id="21"/>
    <w:bookmarkStart w:id="23" w:name="howd-she-get-caught"/>
    <w:p>
      <w:pPr>
        <w:pStyle w:val="Heading2"/>
      </w:pPr>
      <w:r>
        <w:t xml:space="preserve">How’d she get caught?</w:t>
      </w:r>
    </w:p>
    <w:p>
      <w:pPr>
        <w:pStyle w:val="FirstParagraph"/>
      </w:pPr>
      <w:r>
        <w:t xml:space="preserve">She was caught because, in the age of the instant message, talking someone into a</w:t>
      </w:r>
      <w:r>
        <w:t xml:space="preserve"> </w:t>
      </w:r>
      <w:r>
        <w:t xml:space="preserve">murder leaves the same kind of trail as committing one yourself. Melissa Todorovic</w:t>
      </w:r>
      <w:r>
        <w:t xml:space="preserve"> </w:t>
      </w:r>
      <w:r>
        <w:t xml:space="preserve">never had to stand in the snow. She never had to hold the knife or get a drop of</w:t>
      </w:r>
      <w:r>
        <w:t xml:space="preserve"> </w:t>
      </w:r>
      <w:r>
        <w:t xml:space="preserve">blood on her hands. She ran a killing at arm’s length, working on a susceptible</w:t>
      </w:r>
      <w:r>
        <w:t xml:space="preserve"> </w:t>
      </w:r>
      <w:r>
        <w:t xml:space="preserve">boyfriend through a keyboard, day after day, until he did the thing she wanted</w:t>
      </w:r>
      <w:r>
        <w:t xml:space="preserve"> </w:t>
      </w:r>
      <w:r>
        <w:t xml:space="preserve">done. But the law of counselling murder has never required your hand on the</w:t>
      </w:r>
      <w:r>
        <w:t xml:space="preserve"> </w:t>
      </w:r>
      <w:r>
        <w:t xml:space="preserve">weapon. It requires proof that you put the weapon in someone else’s, and Melissa</w:t>
      </w:r>
      <w:r>
        <w:t xml:space="preserve"> </w:t>
      </w:r>
      <w:r>
        <w:t xml:space="preserve">Todorovic had generated that proof herself, in writing, message after message,</w:t>
      </w:r>
      <w:r>
        <w:t xml:space="preserve"> </w:t>
      </w:r>
      <w:r>
        <w:t xml:space="preserve">plus a phone call to confirm delivery. In most of the stories in this book, the</w:t>
      </w:r>
      <w:r>
        <w:t xml:space="preserve"> </w:t>
      </w:r>
      <w:r>
        <w:t xml:space="preserve">digital record is the evidence of the crime. Here, the digital record very nearly</w:t>
      </w:r>
      <w:r>
        <w:t xml:space="preserve"> </w:t>
      </w:r>
      <w:r>
        <w:t xml:space="preserve">was the crime.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Todorovic</w:t>
      </w:r>
      <w:r>
        <w:t xml:space="preserve">, 2014 ONCA 153, Court of</w:t>
      </w:r>
      <w:r>
        <w:t xml:space="preserve"> </w:t>
      </w:r>
      <w:r>
        <w:t xml:space="preserve">Appeal for Ontario, decided February 27, 2014 (Rosenberg J.A.; Rouleau and</w:t>
      </w:r>
      <w:r>
        <w:t xml:space="preserve"> </w:t>
      </w:r>
      <w:r>
        <w:t xml:space="preserve">Pardu JJ.A. concurring).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overview is at paras. 3-6; the analysis of her police statements</w:t>
      </w:r>
      <w:r>
        <w:t xml:space="preserve"> </w:t>
      </w:r>
      <w:r>
        <w:t xml:space="preserve">and the adult-sentence decision follows.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14/2014onca153/2014onca15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14/2014onca153/2014onca15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2026-07-02T14:04:21Z</dcterms:created>
  <dcterms:modified xsi:type="dcterms:W3CDTF">2026-07-02T14:04:21Z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