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6e653f0d38642f87a2a5a557db7a4bf4805008"/>
    <w:p>
      <w:pPr>
        <w:pStyle w:val="Heading1"/>
      </w:pPr>
      <w:r>
        <w:t xml:space="preserve">Chapter 25 - No Gun, But the Bullets Matched</w:t>
      </w:r>
    </w:p>
    <w:p>
      <w:pPr>
        <w:pStyle w:val="FirstParagraph"/>
      </w:pPr>
      <w:r>
        <w:rPr>
          <w:bCs/>
          <w:b/>
        </w:rPr>
        <w:t xml:space="preserve">The murder weapon was never found. It didn’t have to be. The killer kept the</w:t>
      </w:r>
      <w:r>
        <w:rPr>
          <w:bCs/>
          <w:b/>
        </w:rPr>
        <w:t xml:space="preserve"> </w:t>
      </w:r>
      <w:r>
        <w:rPr>
          <w:bCs/>
          <w:b/>
        </w:rPr>
        <w:t xml:space="preserve">matching ammunition in his bedroom and photos of the rifle on his Facebook.</w:t>
      </w:r>
    </w:p>
    <w:p>
      <w:pPr>
        <w:pStyle w:val="BodyText"/>
      </w:pPr>
      <w:r>
        <w:t xml:space="preserve">Most shooting cases begin with a gun. This one never produced one, and it is a</w:t>
      </w:r>
      <w:r>
        <w:t xml:space="preserve"> </w:t>
      </w:r>
      <w:r>
        <w:t xml:space="preserve">useful reminder that a firearm leaves a great deal of itself behind even when it</w:t>
      </w:r>
      <w:r>
        <w:t xml:space="preserve"> </w:t>
      </w:r>
      <w:r>
        <w:t xml:space="preserve">walks away, in the round it fires, the ammunition it feeds on, and, increasingly,</w:t>
      </w:r>
      <w:r>
        <w:t xml:space="preserve"> </w:t>
      </w:r>
      <w:r>
        <w:t xml:space="preserve">in the photographs its owner cannot resist posting.</w:t>
      </w:r>
    </w:p>
    <w:p>
      <w:pPr>
        <w:pStyle w:val="BodyText"/>
      </w:pPr>
      <w:r>
        <w:t xml:space="preserve">The story starts, as more and more of them do, with a fight arranged by phone. A</w:t>
      </w:r>
      <w:r>
        <w:t xml:space="preserve"> </w:t>
      </w:r>
      <w:r>
        <w:t xml:space="preserve">sixteen-year-old, whom the law shields behind the initials J.M.F. because he was</w:t>
      </w:r>
      <w:r>
        <w:t xml:space="preserve"> </w:t>
      </w:r>
      <w:r>
        <w:t xml:space="preserve">a young person, exchanged messages with the man who would become the victim.</w:t>
      </w:r>
      <w:r>
        <w:t xml:space="preserve"> </w:t>
      </w:r>
      <w:r>
        <w:t xml:space="preserve">Between the appellant’s phone, the victim’s phone, and their Facebook records,</w:t>
      </w:r>
      <w:r>
        <w:t xml:space="preserve"> </w:t>
      </w:r>
      <w:r>
        <w:t xml:space="preserve">investigators could later read the whole negotiation: the two had agreed to meet</w:t>
      </w:r>
      <w:r>
        <w:t xml:space="preserve"> </w:t>
      </w:r>
      <w:r>
        <w:t xml:space="preserve">that evening to fight, and they had set terms. No weapons. No backup. No police.</w:t>
      </w:r>
    </w:p>
    <w:p>
      <w:pPr>
        <w:pStyle w:val="BodyText"/>
      </w:pPr>
      <w:r>
        <w:t xml:space="preserve">It was, in other words, supposed to be a fair fight, and exactly one of the two</w:t>
      </w:r>
      <w:r>
        <w:t xml:space="preserve"> </w:t>
      </w:r>
      <w:r>
        <w:t xml:space="preserve">young men showed up honoring the deal.</w:t>
      </w:r>
    </w:p>
    <w:bookmarkStart w:id="20" w:name="two-gunshots-on-a-borrowed-phone"/>
    <w:p>
      <w:pPr>
        <w:pStyle w:val="Heading2"/>
      </w:pPr>
      <w:r>
        <w:t xml:space="preserve">Two gunshots on a borrowed phone</w:t>
      </w:r>
    </w:p>
    <w:p>
      <w:pPr>
        <w:pStyle w:val="FirstParagraph"/>
      </w:pPr>
      <w:r>
        <w:t xml:space="preserve">The victim did not come alone. He arrived with two other people, and one of them,</w:t>
      </w:r>
      <w:r>
        <w:t xml:space="preserve"> </w:t>
      </w:r>
      <w:r>
        <w:t xml:space="preserve">a person the record calls M.P., pulled out the victim’s own cell phone and</w:t>
      </w:r>
      <w:r>
        <w:t xml:space="preserve"> </w:t>
      </w:r>
      <w:r>
        <w:t xml:space="preserve">recorded what happened next. The video is not the clean piece of evidence a</w:t>
      </w:r>
      <w:r>
        <w:t xml:space="preserve"> </w:t>
      </w:r>
      <w:r>
        <w:t xml:space="preserve">prosecutor dreams of. It shows the victim getting out of the vehicle and walking</w:t>
      </w:r>
      <w:r>
        <w:t xml:space="preserve"> </w:t>
      </w:r>
      <w:r>
        <w:t xml:space="preserve">toward a figure whose face cannot be made out in the dark. Then two gunshots crack</w:t>
      </w:r>
      <w:r>
        <w:t xml:space="preserve"> </w:t>
      </w:r>
      <w:r>
        <w:t xml:space="preserve">across the audio, and that is all the camera can tell you. It captured a murder it</w:t>
      </w:r>
      <w:r>
        <w:t xml:space="preserve"> </w:t>
      </w:r>
      <w:r>
        <w:t xml:space="preserve">could not identify.</w:t>
      </w:r>
    </w:p>
    <w:p>
      <w:pPr>
        <w:pStyle w:val="BodyText"/>
      </w:pPr>
      <w:r>
        <w:t xml:space="preserve">What the camera couldn’t supply, the physical evidence began to. At the scene and</w:t>
      </w:r>
      <w:r>
        <w:t xml:space="preserve"> </w:t>
      </w:r>
      <w:r>
        <w:t xml:space="preserve">on the autopsy table, the story sharpened: the victim had been killed with a</w:t>
      </w:r>
      <w:r>
        <w:t xml:space="preserve"> </w:t>
      </w:r>
      <w:r>
        <w:t xml:space="preserve">.22-calibre bullet. And a .22 is a common enough round that on its own it proves</w:t>
      </w:r>
      <w:r>
        <w:t xml:space="preserve"> </w:t>
      </w:r>
      <w:r>
        <w:t xml:space="preserve">little, which is why the next fact matters. When police later searched the</w:t>
      </w:r>
      <w:r>
        <w:t xml:space="preserve"> </w:t>
      </w:r>
      <w:r>
        <w:t xml:space="preserve">sixteen-year-old’s bedroom, they found ammunition, and it was consistent with the</w:t>
      </w:r>
      <w:r>
        <w:t xml:space="preserve"> </w:t>
      </w:r>
      <w:r>
        <w:t xml:space="preserve">calibre and make of the round that killed the victim. No gun. But the food the</w:t>
      </w:r>
      <w:r>
        <w:t xml:space="preserve"> </w:t>
      </w:r>
      <w:r>
        <w:t xml:space="preserve">gun ate was sitting in his room.</w:t>
      </w:r>
    </w:p>
    <w:p>
      <w:pPr>
        <w:pStyle w:val="BodyText"/>
      </w:pPr>
      <w:r>
        <w:t xml:space="preserve">Then his own phone finished the job the crime-scene video had started. Extracted</w:t>
      </w:r>
      <w:r>
        <w:t xml:space="preserve"> </w:t>
      </w:r>
      <w:r>
        <w:t xml:space="preserve">from the device and from his Facebook were images of at least three firearms, and</w:t>
      </w:r>
      <w:r>
        <w:t xml:space="preserve"> </w:t>
      </w:r>
      <w:r>
        <w:t xml:space="preserve">one of them was a rifle of a calibre, and taking ammunition, consistent with the</w:t>
      </w:r>
      <w:r>
        <w:t xml:space="preserve"> </w:t>
      </w:r>
      <w:r>
        <w:t xml:space="preserve">casing found at the scene, a gun that could have fired exactly the round that</w:t>
      </w:r>
      <w:r>
        <w:t xml:space="preserve"> </w:t>
      </w:r>
      <w:r>
        <w:t xml:space="preserve">killed a young man in the street. He had agreed to a no-weapons fight, brought a</w:t>
      </w:r>
      <w:r>
        <w:t xml:space="preserve"> </w:t>
      </w:r>
      <w:r>
        <w:t xml:space="preserve">gun, kept its diet in his bedroom, and kept its portrait on his social media.</w:t>
      </w:r>
    </w:p>
    <w:p>
      <w:pPr>
        <w:pStyle w:val="BodyText"/>
      </w:pPr>
      <w:r>
        <w:t xml:space="preserve">The phone had one more thing to say, and it said it in his own words. After the</w:t>
      </w:r>
      <w:r>
        <w:t xml:space="preserve"> </w:t>
      </w:r>
      <w:r>
        <w:t xml:space="preserve">shooting, the appellant texted M.P., and although he made a point of trying to</w:t>
      </w:r>
      <w:r>
        <w:t xml:space="preserve"> </w:t>
      </w:r>
      <w:r>
        <w:t xml:space="preserve">delete the messages afterward, they were recovered, and they could be read to place</w:t>
      </w:r>
      <w:r>
        <w:t xml:space="preserve"> </w:t>
      </w:r>
      <w:r>
        <w:t xml:space="preserve">him at the scene and to have him admitting his involvement. Further messages</w:t>
      </w:r>
      <w:r>
        <w:t xml:space="preserve"> </w:t>
      </w:r>
      <w:r>
        <w:t xml:space="preserve">between the appellant and his sister, sent as the police were closing in, read as</w:t>
      </w:r>
      <w:r>
        <w:t xml:space="preserve"> </w:t>
      </w:r>
      <w:r>
        <w:t xml:space="preserve">a small anxious scramble to hide what he had done. A killer who deletes his</w:t>
      </w:r>
      <w:r>
        <w:t xml:space="preserve"> </w:t>
      </w:r>
      <w:r>
        <w:t xml:space="preserve">confession has at least grasped that the confession is a problem. He has simply</w:t>
      </w:r>
      <w:r>
        <w:t xml:space="preserve"> </w:t>
      </w:r>
      <w:r>
        <w:t xml:space="preserve">misunderstood, as so many in this book have, where deleted text messages go, which</w:t>
      </w:r>
      <w:r>
        <w:t xml:space="preserve"> </w:t>
      </w:r>
      <w:r>
        <w:t xml:space="preserve">is nowhere.</w:t>
      </w:r>
    </w:p>
    <w:bookmarkEnd w:id="20"/>
    <w:bookmarkStart w:id="21" w:name="the-foyer"/>
    <w:p>
      <w:pPr>
        <w:pStyle w:val="Heading2"/>
      </w:pPr>
      <w:r>
        <w:t xml:space="preserve">The foyer</w:t>
      </w:r>
    </w:p>
    <w:p>
      <w:pPr>
        <w:pStyle w:val="FirstParagraph"/>
      </w:pPr>
      <w:r>
        <w:t xml:space="preserve">On that evidence a trial judge found the sixteen-year-old guilty of first-degree</w:t>
      </w:r>
      <w:r>
        <w:t xml:space="preserve"> </w:t>
      </w:r>
      <w:r>
        <w:t xml:space="preserve">murder. And then the case did something the previous paragraphs would not lead you</w:t>
      </w:r>
      <w:r>
        <w:t xml:space="preserve"> </w:t>
      </w:r>
      <w:r>
        <w:t xml:space="preserve">to expect: it fell apart, not over the ballistics, not over the confession, but</w:t>
      </w:r>
      <w:r>
        <w:t xml:space="preserve"> </w:t>
      </w:r>
      <w:r>
        <w:t xml:space="preserve">over a doorway.</w:t>
      </w:r>
    </w:p>
    <w:p>
      <w:pPr>
        <w:pStyle w:val="BodyText"/>
      </w:pPr>
      <w:r>
        <w:t xml:space="preserve">The Facebook messages on the victim’s phone had pointed police to the appellant,</w:t>
      </w:r>
      <w:r>
        <w:t xml:space="preserve"> </w:t>
      </w:r>
      <w:r>
        <w:t xml:space="preserve">and they obtained a warrant for the home where he lived with his mother. He got a</w:t>
      </w:r>
      <w:r>
        <w:t xml:space="preserve"> </w:t>
      </w:r>
      <w:r>
        <w:t xml:space="preserve">lawyer, and his counsel arranged for him to surrender at his father’s house, with</w:t>
      </w:r>
      <w:r>
        <w:t xml:space="preserve"> </w:t>
      </w:r>
      <w:r>
        <w:t xml:space="preserve">the understanding that a lawyer would be present when he gave his statement at the</w:t>
      </w:r>
      <w:r>
        <w:t xml:space="preserve"> </w:t>
      </w:r>
      <w:r>
        <w:t xml:space="preserve">station. Two officers came to the father’s home and were invited into the foyer.</w:t>
      </w:r>
      <w:r>
        <w:t xml:space="preserve"> </w:t>
      </w:r>
      <w:r>
        <w:t xml:space="preserve">There, in front of the young man’s parents and sister, they told him he was under</w:t>
      </w:r>
      <w:r>
        <w:t xml:space="preserve"> </w:t>
      </w:r>
      <w:r>
        <w:t xml:space="preserve">arrest, and they did not advise him of his right to counsel or his right to remain</w:t>
      </w:r>
      <w:r>
        <w:t xml:space="preserve"> </w:t>
      </w:r>
      <w:r>
        <w:t xml:space="preserve">silent. Their reasoning, they later testified, was that the crowded little</w:t>
      </w:r>
      <w:r>
        <w:t xml:space="preserve"> </w:t>
      </w:r>
      <w:r>
        <w:t xml:space="preserve">entryway was no place for it, and that the privacy and control of the police</w:t>
      </w:r>
      <w:r>
        <w:t xml:space="preserve"> </w:t>
      </w:r>
      <w:r>
        <w:t xml:space="preserve">vehicle would be better. Before they got him to that vehicle, an officer asked</w:t>
      </w:r>
      <w:r>
        <w:t xml:space="preserve"> </w:t>
      </w:r>
      <w:r>
        <w:t xml:space="preserve">whether he had all his belongings, and specifically whether he had his cell phone.</w:t>
      </w:r>
      <w:r>
        <w:t xml:space="preserve"> </w:t>
      </w:r>
      <w:r>
        <w:t xml:space="preserve">The teenager first said he had gotten rid of it, then, seconds later, admitted it</w:t>
      </w:r>
      <w:r>
        <w:t xml:space="preserve"> </w:t>
      </w:r>
      <w:r>
        <w:t xml:space="preserve">was in the house but that he would not hand it over.</w:t>
      </w:r>
    </w:p>
    <w:p>
      <w:pPr>
        <w:pStyle w:val="BodyText"/>
      </w:pPr>
      <w:r>
        <w:t xml:space="preserve">That small exchange, conducted before a child in custody had been told he could</w:t>
      </w:r>
      <w:r>
        <w:t xml:space="preserve"> </w:t>
      </w:r>
      <w:r>
        <w:t xml:space="preserve">stay silent or call a lawyer, is what unraveled the conviction. The Manitoba Court</w:t>
      </w:r>
      <w:r>
        <w:t xml:space="preserve"> </w:t>
      </w:r>
      <w:r>
        <w:t xml:space="preserve">of Appeal held that the statement had been obtained in breach of the appellant’s</w:t>
      </w:r>
      <w:r>
        <w:t xml:space="preserve"> </w:t>
      </w:r>
      <w:r>
        <w:t xml:space="preserve">right to counsel under section 10(b) of the Charter, protections the law makes</w:t>
      </w:r>
      <w:r>
        <w:t xml:space="preserve"> </w:t>
      </w:r>
      <w:r>
        <w:t xml:space="preserve">especially robust for young persons precisely because they are young. Because that</w:t>
      </w:r>
      <w:r>
        <w:t xml:space="preserve"> </w:t>
      </w:r>
      <w:r>
        <w:t xml:space="preserve">tainted exchange led to the seizure of the phone and everything on it, the</w:t>
      </w:r>
      <w:r>
        <w:t xml:space="preserve"> </w:t>
      </w:r>
      <w:r>
        <w:t xml:space="preserve">statement and the phone’s contents had to be excluded. Strip that evidence out,</w:t>
      </w:r>
      <w:r>
        <w:t xml:space="preserve"> </w:t>
      </w:r>
      <w:r>
        <w:t xml:space="preserve">the court reasoned, and you remove a great deal of what the trial judge had leaned</w:t>
      </w:r>
      <w:r>
        <w:t xml:space="preserve"> </w:t>
      </w:r>
      <w:r>
        <w:t xml:space="preserve">on. It did not necessarily mean there was too little left to convict; the</w:t>
      </w:r>
      <w:r>
        <w:t xml:space="preserve"> </w:t>
      </w:r>
      <w:r>
        <w:t xml:space="preserve">ammunition, after all, had come from a separate search. But it meant the whole</w:t>
      </w:r>
      <w:r>
        <w:t xml:space="preserve"> </w:t>
      </w:r>
      <w:r>
        <w:t xml:space="preserve">case had to be weighed again, fairly, the second time. In 2022 the court set the</w:t>
      </w:r>
      <w:r>
        <w:t xml:space="preserve"> </w:t>
      </w:r>
      <w:r>
        <w:t xml:space="preserve">conviction aside and ordered a new trial.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gun that wasn’t there. A firearm can vanish into a river or a</w:t>
      </w:r>
      <w:r>
        <w:t xml:space="preserve"> </w:t>
      </w:r>
      <w:r>
        <w:t xml:space="preserve">friend’s basement and never surface, but the sixteen-year-old had surrounded</w:t>
      </w:r>
      <w:r>
        <w:t xml:space="preserve"> </w:t>
      </w:r>
      <w:r>
        <w:t xml:space="preserve">himself with everything a missing gun implies: the matching ammunition in his</w:t>
      </w:r>
      <w:r>
        <w:t xml:space="preserve"> </w:t>
      </w:r>
      <w:r>
        <w:t xml:space="preserve">bedroom, photographs of a compatible rifle on his Facebook, and a set of</w:t>
      </w:r>
      <w:r>
        <w:t xml:space="preserve"> </w:t>
      </w:r>
      <w:r>
        <w:t xml:space="preserve">confession texts he trusted the delete button to erase. On the strength of it, a</w:t>
      </w:r>
      <w:r>
        <w:t xml:space="preserve"> </w:t>
      </w:r>
      <w:r>
        <w:t xml:space="preserve">judge convicted him. And then the same case became a lesson pointed in the other</w:t>
      </w:r>
      <w:r>
        <w:t xml:space="preserve"> </w:t>
      </w:r>
      <w:r>
        <w:t xml:space="preserve">direction, a reminder that the rules about how police may treat a suspect, above</w:t>
      </w:r>
      <w:r>
        <w:t xml:space="preserve"> </w:t>
      </w:r>
      <w:r>
        <w:t xml:space="preserve">all a child, are not technicalities to be brushed aside in a crowded foyer, and</w:t>
      </w:r>
      <w:r>
        <w:t xml:space="preserve"> </w:t>
      </w:r>
      <w:r>
        <w:t xml:space="preserve">that cutting the corner can cost the Crown the very conviction the evidence had</w:t>
      </w:r>
      <w:r>
        <w:t xml:space="preserve"> </w:t>
      </w:r>
      <w:r>
        <w:t xml:space="preserve">earned. He got caught by keeping the bullets. He got a second trial because the</w:t>
      </w:r>
      <w:r>
        <w:t xml:space="preserve"> </w:t>
      </w:r>
      <w:r>
        <w:t xml:space="preserve">police forgot the warnings.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 v F (JM)</w:t>
      </w:r>
      <w:r>
        <w:t xml:space="preserve">, 2022 MBCA 52, Court of Appeal of</w:t>
      </w:r>
      <w:r>
        <w:t xml:space="preserve"> </w:t>
      </w:r>
      <w:r>
        <w:t xml:space="preserve">Manitoba, decided June 8, 2022 (Monnin J.A.).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facts are set out in the opening paragraphs; the section 10(b) Charter</w:t>
      </w:r>
      <w:r>
        <w:t xml:space="preserve"> </w:t>
      </w:r>
      <w:r>
        <w:t xml:space="preserve">analysis and the order for a new trial follow. Note: a publication ban under</w:t>
      </w:r>
      <w:r>
        <w:t xml:space="preserve"> </w:t>
      </w:r>
      <w:r>
        <w:t xml:space="preserve">the Youth Criminal Justice Act protects the identities of those involved.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mb/mbca/doc/2022/2022mbca52/2022mbca5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mb/mbca/doc/2022/2022mbca52/2022mbca5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2026-07-02T14:21:38Z</dcterms:created>
  <dcterms:modified xsi:type="dcterms:W3CDTF">2026-07-02T14:21:38Z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