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Specification - Commercial Cleaning Services</w:t>
      </w:r>
    </w:p>
    <w:p>
      <w:r>
        <w:t>Reference BC/CLEAN/2026/014. This Specification forms part of the Invitation to Tender.</w:t>
      </w:r>
    </w:p>
    <w:p>
      <w:pPr>
        <w:pStyle w:val="Heading2"/>
      </w:pPr>
      <w:r>
        <w:t>Clause 2.1 Service Standards</w:t>
      </w:r>
    </w:p>
    <w:p>
      <w:r>
        <w:t>SPEC-STD-101: Cleaning services must be delivered to BICSc standards or demonstrable equivalent across all sites in Schedule 1.</w:t>
      </w:r>
    </w:p>
    <w:p>
      <w:pPr>
        <w:pStyle w:val="Heading2"/>
      </w:pPr>
      <w:r>
        <w:t>Clause 2.2 COSHH</w:t>
      </w:r>
    </w:p>
    <w:p>
      <w:r>
        <w:t>SPEC-COSHH-102: The Supplier must maintain COSHH assessments for every cleaning product used on site and make them available to the Authority on request within five working days.</w:t>
      </w:r>
    </w:p>
    <w:p>
      <w:pPr>
        <w:pStyle w:val="Heading2"/>
      </w:pPr>
      <w:r>
        <w:t>Clause 2.3 Safeguarding</w:t>
      </w:r>
    </w:p>
    <w:p>
      <w:r>
        <w:t>SPEC-SAFE-103: The Supplier must operate a written safeguarding policy aligned to Keeping Children Safe in Education for all education premises.</w:t>
      </w:r>
    </w:p>
    <w:p>
      <w:pPr>
        <w:pStyle w:val="Heading2"/>
      </w:pPr>
      <w:r>
        <w:t>Clause 2.4 Social Value</w:t>
      </w:r>
    </w:p>
    <w:p>
      <w:r>
        <w:t>SPEC-SV-104: The Supplier must commit at least 2 apprenticeship starts per contract year within the borough.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