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Specification Part 1 - Core Services</w:t>
      </w:r>
    </w:p>
    <w:p>
      <w:r>
        <w:t>MD-CORE-003: Daily cleaning of all public conveniences listed in Annex A including weekend coverage between April and September.</w:t>
      </w:r>
    </w:p>
    <w:p>
      <w:pPr>
        <w:pStyle w:val="Heading2"/>
      </w:pPr>
      <w:r>
        <w:t>Part 1 Clause 5</w:t>
      </w:r>
    </w:p>
    <w:p>
      <w:r>
        <w:t>MD-EQ-004: All powered equipment must be PAT tested annually with records available for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