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Specification Part 2 - Personnel</w:t>
      </w:r>
    </w:p>
    <w:p>
      <w:r>
        <w:t>MD-UNIF-005: Staff must wear corporate uniform with visible photo identification at all times while on Council premises.</w:t>
      </w:r>
    </w:p>
    <w:p>
      <w:r>
        <w:t>MD-LW-006: The Supplier must pay all contract staff at or above the Real Living Wage as published by the Living Wage Foundation.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