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3850"/>
        <w:rPr>
          <w:sz w:val="20"/>
        </w:rPr>
      </w:pPr>
      <w:r>
        <w:rPr/>
        <w:pict>
          <v:shape style="position:absolute;margin-left:24.000002pt;margin-top:23.999945pt;width:547.450pt;height:794.05pt;mso-position-horizontal-relative:page;mso-position-vertical-relative:page;z-index:-16205312" id="docshape2"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w:r>
      <w:r>
        <w:rPr>
          <w:sz w:val="20"/>
        </w:rPr>
        <w:drawing>
          <wp:inline distT="0" distB="0" distL="0" distR="0">
            <wp:extent cx="1696997" cy="1307592"/>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696997" cy="1307592"/>
                    </a:xfrm>
                    <a:prstGeom prst="rect">
                      <a:avLst/>
                    </a:prstGeom>
                  </pic:spPr>
                </pic:pic>
              </a:graphicData>
            </a:graphic>
          </wp:inline>
        </w:drawing>
      </w:r>
      <w:r>
        <w:rPr>
          <w:sz w:val="20"/>
        </w:rPr>
      </w:r>
    </w:p>
    <w:p>
      <w:pPr>
        <w:pStyle w:val="BodyText"/>
        <w:spacing w:before="11"/>
        <w:rPr>
          <w:sz w:val="11"/>
        </w:rPr>
      </w:pPr>
      <w:r>
        <w:rPr/>
        <w:drawing>
          <wp:anchor distT="0" distB="0" distL="0" distR="0" allowOverlap="1" layoutInCell="1" locked="0" behindDoc="0" simplePos="0" relativeHeight="0">
            <wp:simplePos x="0" y="0"/>
            <wp:positionH relativeFrom="page">
              <wp:posOffset>914400</wp:posOffset>
            </wp:positionH>
            <wp:positionV relativeFrom="paragraph">
              <wp:posOffset>102615</wp:posOffset>
            </wp:positionV>
            <wp:extent cx="5787555" cy="1559052"/>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7" cstate="print"/>
                    <a:stretch>
                      <a:fillRect/>
                    </a:stretch>
                  </pic:blipFill>
                  <pic:spPr>
                    <a:xfrm>
                      <a:off x="0" y="0"/>
                      <a:ext cx="5787555" cy="1559052"/>
                    </a:xfrm>
                    <a:prstGeom prst="rect">
                      <a:avLst/>
                    </a:prstGeom>
                  </pic:spPr>
                </pic:pic>
              </a:graphicData>
            </a:graphic>
          </wp:anchor>
        </w:drawing>
      </w:r>
    </w:p>
    <w:p>
      <w:pPr>
        <w:pStyle w:val="BodyText"/>
        <w:rPr>
          <w:sz w:val="20"/>
        </w:rPr>
      </w:pPr>
    </w:p>
    <w:p>
      <w:pPr>
        <w:pStyle w:val="BodyText"/>
        <w:rPr>
          <w:sz w:val="20"/>
        </w:rPr>
      </w:pPr>
    </w:p>
    <w:p>
      <w:pPr>
        <w:spacing w:before="176"/>
        <w:ind w:left="1580" w:right="1677" w:firstLine="0"/>
        <w:jc w:val="center"/>
        <w:rPr>
          <w:rFonts w:ascii="Calibri"/>
          <w:b/>
          <w:i/>
          <w:sz w:val="22"/>
        </w:rPr>
      </w:pPr>
      <w:r>
        <w:rPr>
          <w:rFonts w:ascii="Calibri"/>
          <w:b/>
          <w:i/>
          <w:color w:val="5B9BD4"/>
          <w:sz w:val="22"/>
        </w:rPr>
        <w:t>MINISTRY</w:t>
      </w:r>
      <w:r>
        <w:rPr>
          <w:rFonts w:ascii="Calibri"/>
          <w:b/>
          <w:i/>
          <w:color w:val="5B9BD4"/>
          <w:spacing w:val="-5"/>
          <w:sz w:val="22"/>
        </w:rPr>
        <w:t> </w:t>
      </w:r>
      <w:r>
        <w:rPr>
          <w:rFonts w:ascii="Calibri"/>
          <w:b/>
          <w:i/>
          <w:color w:val="5B9BD4"/>
          <w:sz w:val="22"/>
        </w:rPr>
        <w:t>OF</w:t>
      </w:r>
      <w:r>
        <w:rPr>
          <w:rFonts w:ascii="Calibri"/>
          <w:b/>
          <w:i/>
          <w:color w:val="5B9BD4"/>
          <w:spacing w:val="-2"/>
          <w:sz w:val="22"/>
        </w:rPr>
        <w:t> FINANCE</w: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spacing w:before="3"/>
        <w:rPr>
          <w:rFonts w:ascii="Calibri"/>
          <w:b/>
          <w:i/>
          <w:sz w:val="15"/>
        </w:rPr>
      </w:pPr>
      <w:r>
        <w:rPr/>
        <w:pict>
          <v:rect style="position:absolute;margin-left:113.779999pt;margin-top:10.516084pt;width:367.87pt;height:.48001pt;mso-position-horizontal-relative:page;mso-position-vertical-relative:paragraph;z-index:-15728128;mso-wrap-distance-left:0;mso-wrap-distance-right:0" id="docshape3" filled="true" fillcolor="#5b9bd4" stroked="false">
            <v:fill type="solid"/>
            <w10:wrap type="topAndBottom"/>
          </v:rect>
        </w:pict>
      </w:r>
    </w:p>
    <w:p>
      <w:pPr>
        <w:pStyle w:val="BodyText"/>
        <w:rPr>
          <w:rFonts w:ascii="Calibri"/>
          <w:b/>
          <w:i/>
          <w:sz w:val="19"/>
        </w:rPr>
      </w:pPr>
    </w:p>
    <w:p>
      <w:pPr>
        <w:spacing w:before="0"/>
        <w:ind w:left="1580" w:right="1674" w:firstLine="0"/>
        <w:jc w:val="center"/>
        <w:rPr>
          <w:rFonts w:ascii="Calibri"/>
          <w:b/>
          <w:i/>
          <w:sz w:val="22"/>
        </w:rPr>
      </w:pPr>
      <w:r>
        <w:rPr>
          <w:rFonts w:ascii="Calibri"/>
          <w:b/>
          <w:i/>
          <w:color w:val="5B9BD4"/>
          <w:sz w:val="22"/>
        </w:rPr>
        <w:t>RESEARCH</w:t>
      </w:r>
      <w:r>
        <w:rPr>
          <w:rFonts w:ascii="Calibri"/>
          <w:b/>
          <w:i/>
          <w:color w:val="5B9BD4"/>
          <w:spacing w:val="-4"/>
          <w:sz w:val="22"/>
        </w:rPr>
        <w:t> </w:t>
      </w:r>
      <w:r>
        <w:rPr>
          <w:rFonts w:ascii="Calibri"/>
          <w:b/>
          <w:i/>
          <w:color w:val="5B9BD4"/>
          <w:spacing w:val="-2"/>
          <w:sz w:val="22"/>
        </w:rPr>
        <w:t>DEPARTMENT</w:t>
      </w:r>
    </w:p>
    <w:p>
      <w:pPr>
        <w:pStyle w:val="BodyText"/>
        <w:spacing w:before="5"/>
        <w:rPr>
          <w:rFonts w:ascii="Calibri"/>
          <w:b/>
          <w:i/>
          <w:sz w:val="14"/>
        </w:rPr>
      </w:pPr>
      <w:r>
        <w:rPr/>
        <w:pict>
          <v:rect style="position:absolute;margin-left:113.779999pt;margin-top:10.035606pt;width:367.87pt;height:.47998pt;mso-position-horizontal-relative:page;mso-position-vertical-relative:paragraph;z-index:-15727616;mso-wrap-distance-left:0;mso-wrap-distance-right:0" id="docshape4" filled="true" fillcolor="#5b9bd4" stroked="false">
            <v:fill type="solid"/>
            <w10:wrap type="topAndBottom"/>
          </v:rect>
        </w:pict>
      </w: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rPr>
          <w:rFonts w:ascii="Calibri"/>
          <w:b/>
          <w:i/>
          <w:sz w:val="20"/>
        </w:rPr>
      </w:pPr>
    </w:p>
    <w:p>
      <w:pPr>
        <w:pStyle w:val="BodyText"/>
        <w:spacing w:before="10"/>
        <w:rPr>
          <w:rFonts w:ascii="Calibri"/>
          <w:b/>
          <w:i/>
          <w:sz w:val="14"/>
        </w:rPr>
      </w:pPr>
    </w:p>
    <w:p>
      <w:pPr>
        <w:pStyle w:val="Heading1"/>
        <w:spacing w:before="91"/>
      </w:pPr>
      <w:r>
        <w:rPr/>
        <w:t>MONTHLY</w:t>
      </w:r>
      <w:r>
        <w:rPr>
          <w:spacing w:val="-8"/>
        </w:rPr>
        <w:t> </w:t>
      </w:r>
      <w:r>
        <w:rPr/>
        <w:t>ECONOMIC</w:t>
      </w:r>
      <w:r>
        <w:rPr>
          <w:spacing w:val="-9"/>
        </w:rPr>
        <w:t> </w:t>
      </w:r>
      <w:r>
        <w:rPr>
          <w:spacing w:val="-2"/>
        </w:rPr>
        <w:t>MONITOR</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10"/>
        <w:rPr>
          <w:b/>
          <w:sz w:val="35"/>
        </w:rPr>
      </w:pPr>
    </w:p>
    <w:p>
      <w:pPr>
        <w:spacing w:before="0"/>
        <w:ind w:left="1580" w:right="1676" w:firstLine="0"/>
        <w:jc w:val="center"/>
        <w:rPr>
          <w:b/>
          <w:sz w:val="22"/>
        </w:rPr>
      </w:pPr>
      <w:r>
        <w:rPr>
          <w:b/>
          <w:sz w:val="22"/>
        </w:rPr>
        <w:t>SEPTEMBER</w:t>
      </w:r>
      <w:r>
        <w:rPr>
          <w:b/>
          <w:spacing w:val="-6"/>
          <w:sz w:val="22"/>
        </w:rPr>
        <w:t> </w:t>
      </w:r>
      <w:r>
        <w:rPr>
          <w:b/>
          <w:spacing w:val="-4"/>
          <w:sz w:val="22"/>
        </w:rPr>
        <w:t>2022</w:t>
      </w:r>
    </w:p>
    <w:p>
      <w:pPr>
        <w:spacing w:after="0"/>
        <w:jc w:val="center"/>
        <w:rPr>
          <w:sz w:val="22"/>
        </w:rPr>
        <w:sectPr>
          <w:footerReference w:type="default" r:id="rId5"/>
          <w:type w:val="continuous"/>
          <w:pgSz w:w="11910" w:h="16840"/>
          <w:pgMar w:footer="1003" w:header="0" w:top="1420" w:bottom="1200" w:left="780" w:right="680"/>
          <w:pgNumType w:start="1"/>
        </w:sectPr>
      </w:pPr>
    </w:p>
    <w:p>
      <w:pPr>
        <w:pStyle w:val="Heading2"/>
        <w:numPr>
          <w:ilvl w:val="0"/>
          <w:numId w:val="1"/>
        </w:numPr>
        <w:tabs>
          <w:tab w:pos="1380" w:val="left" w:leader="none"/>
          <w:tab w:pos="1381" w:val="left" w:leader="none"/>
        </w:tabs>
        <w:spacing w:line="240" w:lineRule="auto" w:before="80" w:after="0"/>
        <w:ind w:left="1380" w:right="0" w:hanging="476"/>
        <w:jc w:val="left"/>
      </w:pPr>
      <w:r>
        <w:rPr/>
        <w:pict>
          <v:shape style="position:absolute;margin-left:24.000002pt;margin-top:23.999945pt;width:547.450pt;height:794.05pt;mso-position-horizontal-relative:page;mso-position-vertical-relative:page;z-index:-16204288" id="docshape5"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w:r>
      <w:r>
        <w:rPr>
          <w:spacing w:val="-2"/>
        </w:rPr>
        <w:t>Introduction</w:t>
      </w:r>
    </w:p>
    <w:p>
      <w:pPr>
        <w:pStyle w:val="BodyText"/>
        <w:spacing w:before="2"/>
        <w:rPr>
          <w:b/>
          <w:sz w:val="25"/>
        </w:rPr>
      </w:pPr>
    </w:p>
    <w:p>
      <w:pPr>
        <w:pStyle w:val="BodyText"/>
        <w:ind w:left="660" w:right="756"/>
        <w:jc w:val="both"/>
      </w:pPr>
      <w:r>
        <w:rPr/>
        <w:t>This Monthly Economic Monitor (MEM) provides highlights of key macroeconomic developments during the month of September, 2022. The overall objective of this exercise is to keep management updated on the operating economic landscape. Furthermore, this MEM will inform the Quarterly Economic Bulletin</w:t>
      </w:r>
      <w:r>
        <w:rPr>
          <w:vertAlign w:val="superscript"/>
        </w:rPr>
        <w:t>1</w:t>
      </w:r>
      <w:r>
        <w:rPr>
          <w:vertAlign w:val="baseline"/>
        </w:rPr>
        <w:t> of the third quarter (July – September) and other economic background papers produced by the Ministry of Finance (MoF). It also forms part of efforts by MoF to design a comprehensive macroeconomic database that will be used to periodically monitor economic trends.</w:t>
      </w:r>
    </w:p>
    <w:p>
      <w:pPr>
        <w:pStyle w:val="BodyText"/>
        <w:rPr>
          <w:sz w:val="24"/>
        </w:rPr>
      </w:pPr>
    </w:p>
    <w:p>
      <w:pPr>
        <w:pStyle w:val="BodyText"/>
        <w:spacing w:before="1"/>
        <w:rPr>
          <w:sz w:val="19"/>
        </w:rPr>
      </w:pPr>
    </w:p>
    <w:p>
      <w:pPr>
        <w:pStyle w:val="Heading2"/>
        <w:numPr>
          <w:ilvl w:val="0"/>
          <w:numId w:val="1"/>
        </w:numPr>
        <w:tabs>
          <w:tab w:pos="1380" w:val="left" w:leader="none"/>
          <w:tab w:pos="1381" w:val="left" w:leader="none"/>
        </w:tabs>
        <w:spacing w:line="240" w:lineRule="auto" w:before="1" w:after="0"/>
        <w:ind w:left="1380" w:right="0" w:hanging="539"/>
        <w:jc w:val="left"/>
      </w:pPr>
      <w:r>
        <w:rPr/>
        <w:t>Summary</w:t>
      </w:r>
      <w:r>
        <w:rPr>
          <w:spacing w:val="-4"/>
        </w:rPr>
        <w:t> </w:t>
      </w:r>
      <w:r>
        <w:rPr/>
        <w:t>of</w:t>
      </w:r>
      <w:r>
        <w:rPr>
          <w:spacing w:val="-4"/>
        </w:rPr>
        <w:t> </w:t>
      </w:r>
      <w:r>
        <w:rPr/>
        <w:t>Economic</w:t>
      </w:r>
      <w:r>
        <w:rPr>
          <w:spacing w:val="-4"/>
        </w:rPr>
        <w:t> </w:t>
      </w:r>
      <w:r>
        <w:rPr>
          <w:spacing w:val="-2"/>
        </w:rPr>
        <w:t>Highlights</w:t>
      </w:r>
    </w:p>
    <w:p>
      <w:pPr>
        <w:pStyle w:val="BodyText"/>
        <w:spacing w:before="1"/>
        <w:rPr>
          <w:b/>
          <w:sz w:val="25"/>
        </w:rPr>
      </w:pPr>
    </w:p>
    <w:p>
      <w:pPr>
        <w:pStyle w:val="BodyText"/>
        <w:ind w:left="660" w:right="753"/>
        <w:jc w:val="both"/>
      </w:pPr>
      <w:r>
        <w:rPr/>
        <w:t>The Russian-Ukraine conflict continues to adversely affect global growth, putting additional upward pressure on energy and food prices. These developments have eroded real incomes, triggering cost of living</w:t>
      </w:r>
      <w:r>
        <w:rPr>
          <w:spacing w:val="-4"/>
        </w:rPr>
        <w:t> </w:t>
      </w:r>
      <w:r>
        <w:rPr/>
        <w:t>increases,</w:t>
      </w:r>
      <w:r>
        <w:rPr>
          <w:spacing w:val="-2"/>
        </w:rPr>
        <w:t> </w:t>
      </w:r>
      <w:r>
        <w:rPr/>
        <w:t>which</w:t>
      </w:r>
      <w:r>
        <w:rPr>
          <w:spacing w:val="-2"/>
        </w:rPr>
        <w:t> </w:t>
      </w:r>
      <w:r>
        <w:rPr/>
        <w:t>especially</w:t>
      </w:r>
      <w:r>
        <w:rPr>
          <w:spacing w:val="-3"/>
        </w:rPr>
        <w:t> </w:t>
      </w:r>
      <w:r>
        <w:rPr/>
        <w:t>impacts</w:t>
      </w:r>
      <w:r>
        <w:rPr>
          <w:spacing w:val="-1"/>
        </w:rPr>
        <w:t> </w:t>
      </w:r>
      <w:r>
        <w:rPr/>
        <w:t>vulnerable</w:t>
      </w:r>
      <w:r>
        <w:rPr>
          <w:spacing w:val="-2"/>
        </w:rPr>
        <w:t> </w:t>
      </w:r>
      <w:r>
        <w:rPr/>
        <w:t>groups.</w:t>
      </w:r>
      <w:r>
        <w:rPr>
          <w:spacing w:val="-1"/>
        </w:rPr>
        <w:t> </w:t>
      </w:r>
      <w:r>
        <w:rPr/>
        <w:t>Despite</w:t>
      </w:r>
      <w:r>
        <w:rPr>
          <w:spacing w:val="-2"/>
        </w:rPr>
        <w:t> </w:t>
      </w:r>
      <w:r>
        <w:rPr/>
        <w:t>elevated</w:t>
      </w:r>
      <w:r>
        <w:rPr>
          <w:spacing w:val="-2"/>
        </w:rPr>
        <w:t> </w:t>
      </w:r>
      <w:r>
        <w:rPr/>
        <w:t>prices,</w:t>
      </w:r>
      <w:r>
        <w:rPr>
          <w:spacing w:val="-2"/>
        </w:rPr>
        <w:t> </w:t>
      </w:r>
      <w:r>
        <w:rPr/>
        <w:t>global</w:t>
      </w:r>
      <w:r>
        <w:rPr>
          <w:spacing w:val="-1"/>
        </w:rPr>
        <w:t> </w:t>
      </w:r>
      <w:r>
        <w:rPr/>
        <w:t>oil</w:t>
      </w:r>
      <w:r>
        <w:rPr>
          <w:spacing w:val="-1"/>
        </w:rPr>
        <w:t> </w:t>
      </w:r>
      <w:r>
        <w:rPr/>
        <w:t>prices continued</w:t>
      </w:r>
      <w:r>
        <w:rPr>
          <w:spacing w:val="-3"/>
        </w:rPr>
        <w:t> </w:t>
      </w:r>
      <w:r>
        <w:rPr/>
        <w:t>to</w:t>
      </w:r>
      <w:r>
        <w:rPr>
          <w:spacing w:val="-1"/>
        </w:rPr>
        <w:t> </w:t>
      </w:r>
      <w:r>
        <w:rPr/>
        <w:t>show</w:t>
      </w:r>
      <w:r>
        <w:rPr>
          <w:spacing w:val="-2"/>
        </w:rPr>
        <w:t> </w:t>
      </w:r>
      <w:r>
        <w:rPr/>
        <w:t>a</w:t>
      </w:r>
      <w:r>
        <w:rPr>
          <w:spacing w:val="-1"/>
        </w:rPr>
        <w:t> </w:t>
      </w:r>
      <w:r>
        <w:rPr/>
        <w:t>decline</w:t>
      </w:r>
      <w:r>
        <w:rPr>
          <w:spacing w:val="-1"/>
        </w:rPr>
        <w:t> </w:t>
      </w:r>
      <w:r>
        <w:rPr/>
        <w:t>from</w:t>
      </w:r>
      <w:r>
        <w:rPr>
          <w:spacing w:val="-5"/>
        </w:rPr>
        <w:t> </w:t>
      </w:r>
      <w:r>
        <w:rPr/>
        <w:t>August levels,</w:t>
      </w:r>
      <w:r>
        <w:rPr>
          <w:spacing w:val="-1"/>
        </w:rPr>
        <w:t> </w:t>
      </w:r>
      <w:r>
        <w:rPr/>
        <w:t>contributing</w:t>
      </w:r>
      <w:r>
        <w:rPr>
          <w:spacing w:val="-4"/>
        </w:rPr>
        <w:t> </w:t>
      </w:r>
      <w:r>
        <w:rPr/>
        <w:t>to a</w:t>
      </w:r>
      <w:r>
        <w:rPr>
          <w:spacing w:val="-1"/>
        </w:rPr>
        <w:t> </w:t>
      </w:r>
      <w:r>
        <w:rPr/>
        <w:t>moderation</w:t>
      </w:r>
      <w:r>
        <w:rPr>
          <w:spacing w:val="-1"/>
        </w:rPr>
        <w:t> </w:t>
      </w:r>
      <w:r>
        <w:rPr/>
        <w:t>of inflationary</w:t>
      </w:r>
      <w:r>
        <w:rPr>
          <w:spacing w:val="-4"/>
        </w:rPr>
        <w:t> </w:t>
      </w:r>
      <w:r>
        <w:rPr/>
        <w:t>pressures domestically during September. Domestic economic activity remained positive on the back of strong growth in household consumption, amid tight financial conditions. The positive growth in household demand could further be boosted by the moderation of inflationary pressures. Meanwhile, the</w:t>
      </w:r>
      <w:r>
        <w:rPr>
          <w:spacing w:val="40"/>
        </w:rPr>
        <w:t> </w:t>
      </w:r>
      <w:r>
        <w:rPr/>
        <w:t>diamond sector outlook remained positive despite a decline during the second quarter of 2022, while the tourism industry continued to recover, but at a slow pace, potentially reflecting uncertainty in the global economy. The foreign exchange reserves have risen in the last two months, to P59.3 billion in August 2022 sufficient to cover only 10.2 months of imports of non-diamond goods and services. Much of the increase in Pula terms is due to exchange rate changes, and in US dollar terms there has been no increase.</w:t>
      </w:r>
    </w:p>
    <w:p>
      <w:pPr>
        <w:pStyle w:val="BodyText"/>
        <w:rPr>
          <w:sz w:val="20"/>
        </w:rPr>
      </w:pPr>
    </w:p>
    <w:p>
      <w:pPr>
        <w:pStyle w:val="BodyText"/>
        <w:spacing w:before="9"/>
        <w:rPr>
          <w:sz w:val="14"/>
        </w:rPr>
      </w:pPr>
    </w:p>
    <w:tbl>
      <w:tblPr>
        <w:tblW w:w="0" w:type="auto"/>
        <w:jc w:val="left"/>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20"/>
        <w:gridCol w:w="3168"/>
      </w:tblGrid>
      <w:tr>
        <w:trPr>
          <w:trHeight w:val="273" w:hRule="atLeast"/>
        </w:trPr>
        <w:tc>
          <w:tcPr>
            <w:tcW w:w="6320" w:type="dxa"/>
            <w:shd w:val="clear" w:color="auto" w:fill="DEEAF6"/>
          </w:tcPr>
          <w:p>
            <w:pPr>
              <w:pStyle w:val="TableParagraph"/>
              <w:spacing w:line="251" w:lineRule="exact"/>
              <w:rPr>
                <w:b/>
                <w:sz w:val="22"/>
              </w:rPr>
            </w:pPr>
            <w:r>
              <w:rPr>
                <w:b/>
                <w:sz w:val="22"/>
              </w:rPr>
              <w:t>Economic</w:t>
            </w:r>
            <w:r>
              <w:rPr>
                <w:b/>
                <w:spacing w:val="-5"/>
                <w:sz w:val="22"/>
              </w:rPr>
              <w:t> </w:t>
            </w:r>
            <w:r>
              <w:rPr>
                <w:b/>
                <w:spacing w:val="-2"/>
                <w:sz w:val="22"/>
              </w:rPr>
              <w:t>Highlights</w:t>
            </w:r>
          </w:p>
        </w:tc>
        <w:tc>
          <w:tcPr>
            <w:tcW w:w="3168" w:type="dxa"/>
            <w:shd w:val="clear" w:color="auto" w:fill="DEEAF6"/>
          </w:tcPr>
          <w:p>
            <w:pPr>
              <w:pStyle w:val="TableParagraph"/>
              <w:spacing w:line="251" w:lineRule="exact"/>
              <w:ind w:left="105"/>
              <w:rPr>
                <w:b/>
                <w:sz w:val="22"/>
              </w:rPr>
            </w:pPr>
            <w:r>
              <w:rPr>
                <w:b/>
                <w:sz w:val="22"/>
              </w:rPr>
              <w:t>Possible</w:t>
            </w:r>
            <w:r>
              <w:rPr>
                <w:b/>
                <w:spacing w:val="50"/>
                <w:sz w:val="22"/>
              </w:rPr>
              <w:t> </w:t>
            </w:r>
            <w:r>
              <w:rPr>
                <w:b/>
                <w:spacing w:val="-2"/>
                <w:sz w:val="22"/>
              </w:rPr>
              <w:t>Implications</w:t>
            </w:r>
          </w:p>
        </w:tc>
      </w:tr>
      <w:tr>
        <w:trPr>
          <w:trHeight w:val="6053" w:hRule="atLeast"/>
        </w:trPr>
        <w:tc>
          <w:tcPr>
            <w:tcW w:w="6320" w:type="dxa"/>
          </w:tcPr>
          <w:p>
            <w:pPr>
              <w:pStyle w:val="TableParagraph"/>
              <w:spacing w:line="251" w:lineRule="exact"/>
              <w:ind w:left="467"/>
              <w:rPr>
                <w:b/>
                <w:sz w:val="22"/>
              </w:rPr>
            </w:pPr>
            <w:r>
              <w:rPr>
                <w:b/>
                <w:sz w:val="22"/>
              </w:rPr>
              <w:t>a.</w:t>
            </w:r>
            <w:r>
              <w:rPr>
                <w:b/>
                <w:spacing w:val="39"/>
                <w:sz w:val="22"/>
              </w:rPr>
              <w:t>  </w:t>
            </w:r>
            <w:r>
              <w:rPr>
                <w:b/>
                <w:sz w:val="22"/>
              </w:rPr>
              <w:t>Global</w:t>
            </w:r>
            <w:r>
              <w:rPr>
                <w:b/>
                <w:spacing w:val="1"/>
                <w:sz w:val="22"/>
              </w:rPr>
              <w:t> </w:t>
            </w:r>
            <w:r>
              <w:rPr>
                <w:b/>
                <w:sz w:val="22"/>
              </w:rPr>
              <w:t>Economic </w:t>
            </w:r>
            <w:r>
              <w:rPr>
                <w:b/>
                <w:spacing w:val="-2"/>
                <w:sz w:val="22"/>
              </w:rPr>
              <w:t>updates</w:t>
            </w:r>
          </w:p>
          <w:p>
            <w:pPr>
              <w:pStyle w:val="TableParagraph"/>
              <w:spacing w:line="240" w:lineRule="auto" w:before="2"/>
              <w:ind w:left="0"/>
              <w:rPr>
                <w:sz w:val="25"/>
              </w:rPr>
            </w:pPr>
          </w:p>
          <w:p>
            <w:pPr>
              <w:pStyle w:val="TableParagraph"/>
              <w:spacing w:line="259" w:lineRule="auto"/>
              <w:ind w:right="94"/>
              <w:jc w:val="both"/>
              <w:rPr>
                <w:sz w:val="22"/>
              </w:rPr>
            </w:pPr>
            <w:r>
              <w:rPr>
                <w:sz w:val="22"/>
              </w:rPr>
              <w:t>Growth in the world’s three largest economies, the United States, China, and the European Union is weakening, with significant spill overs to other countries. The IMF forecasts a global slowdown growth from 6.0% in 2021 to 3.2% in 2022 and 2.7% in 2023. The global slowdown in 2022 is as projected in the July 2022 while the forecast for 2023 is lower than projected then, by 0.2 percentage point. The baseline forecast for 2023 is highly uncertain, most forward-looking indicators suggest a further slowdown in global </w:t>
            </w:r>
            <w:r>
              <w:rPr>
                <w:spacing w:val="-2"/>
                <w:sz w:val="22"/>
              </w:rPr>
              <w:t>growth.</w:t>
            </w:r>
          </w:p>
          <w:p>
            <w:pPr>
              <w:pStyle w:val="TableParagraph"/>
              <w:spacing w:line="259" w:lineRule="auto" w:before="157"/>
              <w:ind w:right="93"/>
              <w:jc w:val="both"/>
              <w:rPr>
                <w:sz w:val="22"/>
              </w:rPr>
            </w:pPr>
            <w:r>
              <w:rPr>
                <w:sz w:val="22"/>
              </w:rPr>
              <w:t>At regional level, growth is projected to slow with Advanced Economies</w:t>
            </w:r>
            <w:r>
              <w:rPr>
                <w:spacing w:val="-1"/>
                <w:sz w:val="22"/>
              </w:rPr>
              <w:t> </w:t>
            </w:r>
            <w:r>
              <w:rPr>
                <w:sz w:val="22"/>
              </w:rPr>
              <w:t>projected</w:t>
            </w:r>
            <w:r>
              <w:rPr>
                <w:spacing w:val="-4"/>
                <w:sz w:val="22"/>
              </w:rPr>
              <w:t> </w:t>
            </w:r>
            <w:r>
              <w:rPr>
                <w:sz w:val="22"/>
              </w:rPr>
              <w:t>to</w:t>
            </w:r>
            <w:r>
              <w:rPr>
                <w:spacing w:val="-2"/>
                <w:sz w:val="22"/>
              </w:rPr>
              <w:t> </w:t>
            </w:r>
            <w:r>
              <w:rPr>
                <w:sz w:val="22"/>
              </w:rPr>
              <w:t>grow</w:t>
            </w:r>
            <w:r>
              <w:rPr>
                <w:spacing w:val="-3"/>
                <w:sz w:val="22"/>
              </w:rPr>
              <w:t> </w:t>
            </w:r>
            <w:r>
              <w:rPr>
                <w:sz w:val="22"/>
              </w:rPr>
              <w:t>at</w:t>
            </w:r>
            <w:r>
              <w:rPr>
                <w:spacing w:val="-1"/>
                <w:sz w:val="22"/>
              </w:rPr>
              <w:t> </w:t>
            </w:r>
            <w:r>
              <w:rPr>
                <w:sz w:val="22"/>
              </w:rPr>
              <w:t>2.4%</w:t>
            </w:r>
            <w:r>
              <w:rPr>
                <w:spacing w:val="-2"/>
                <w:sz w:val="22"/>
              </w:rPr>
              <w:t> </w:t>
            </w:r>
            <w:r>
              <w:rPr>
                <w:sz w:val="22"/>
              </w:rPr>
              <w:t>in</w:t>
            </w:r>
            <w:r>
              <w:rPr>
                <w:spacing w:val="-2"/>
                <w:sz w:val="22"/>
              </w:rPr>
              <w:t> </w:t>
            </w:r>
            <w:r>
              <w:rPr>
                <w:sz w:val="22"/>
              </w:rPr>
              <w:t>2022</w:t>
            </w:r>
            <w:r>
              <w:rPr>
                <w:spacing w:val="-2"/>
                <w:sz w:val="22"/>
              </w:rPr>
              <w:t> </w:t>
            </w:r>
            <w:r>
              <w:rPr>
                <w:sz w:val="22"/>
              </w:rPr>
              <w:t>and</w:t>
            </w:r>
            <w:r>
              <w:rPr>
                <w:spacing w:val="-2"/>
                <w:sz w:val="22"/>
              </w:rPr>
              <w:t> </w:t>
            </w:r>
            <w:r>
              <w:rPr>
                <w:sz w:val="22"/>
              </w:rPr>
              <w:t>1.1%</w:t>
            </w:r>
            <w:r>
              <w:rPr>
                <w:spacing w:val="-2"/>
                <w:sz w:val="22"/>
              </w:rPr>
              <w:t> </w:t>
            </w:r>
            <w:r>
              <w:rPr>
                <w:sz w:val="22"/>
              </w:rPr>
              <w:t>in</w:t>
            </w:r>
            <w:r>
              <w:rPr>
                <w:spacing w:val="-2"/>
                <w:sz w:val="22"/>
              </w:rPr>
              <w:t> </w:t>
            </w:r>
            <w:r>
              <w:rPr>
                <w:sz w:val="22"/>
              </w:rPr>
              <w:t>2023.</w:t>
            </w:r>
            <w:r>
              <w:rPr>
                <w:spacing w:val="-2"/>
                <w:sz w:val="22"/>
              </w:rPr>
              <w:t> </w:t>
            </w:r>
            <w:r>
              <w:rPr>
                <w:sz w:val="22"/>
              </w:rPr>
              <w:t>The Emerging Markets and Developing Economies are also projected to slow</w:t>
            </w:r>
            <w:r>
              <w:rPr>
                <w:spacing w:val="64"/>
                <w:sz w:val="22"/>
              </w:rPr>
              <w:t> </w:t>
            </w:r>
            <w:r>
              <w:rPr>
                <w:sz w:val="22"/>
              </w:rPr>
              <w:t>from</w:t>
            </w:r>
            <w:r>
              <w:rPr>
                <w:spacing w:val="61"/>
                <w:sz w:val="22"/>
              </w:rPr>
              <w:t> </w:t>
            </w:r>
            <w:r>
              <w:rPr>
                <w:sz w:val="22"/>
              </w:rPr>
              <w:t>6.6%</w:t>
            </w:r>
            <w:r>
              <w:rPr>
                <w:spacing w:val="64"/>
                <w:sz w:val="22"/>
              </w:rPr>
              <w:t> </w:t>
            </w:r>
            <w:r>
              <w:rPr>
                <w:sz w:val="22"/>
              </w:rPr>
              <w:t>in</w:t>
            </w:r>
            <w:r>
              <w:rPr>
                <w:spacing w:val="65"/>
                <w:sz w:val="22"/>
              </w:rPr>
              <w:t> </w:t>
            </w:r>
            <w:r>
              <w:rPr>
                <w:sz w:val="22"/>
              </w:rPr>
              <w:t>2021</w:t>
            </w:r>
            <w:r>
              <w:rPr>
                <w:spacing w:val="63"/>
                <w:sz w:val="22"/>
              </w:rPr>
              <w:t> </w:t>
            </w:r>
            <w:r>
              <w:rPr>
                <w:sz w:val="22"/>
              </w:rPr>
              <w:t>to</w:t>
            </w:r>
            <w:r>
              <w:rPr>
                <w:spacing w:val="65"/>
                <w:sz w:val="22"/>
              </w:rPr>
              <w:t> </w:t>
            </w:r>
            <w:r>
              <w:rPr>
                <w:sz w:val="22"/>
              </w:rPr>
              <w:t>3.7%</w:t>
            </w:r>
            <w:r>
              <w:rPr>
                <w:spacing w:val="63"/>
                <w:sz w:val="22"/>
              </w:rPr>
              <w:t> </w:t>
            </w:r>
            <w:r>
              <w:rPr>
                <w:sz w:val="22"/>
              </w:rPr>
              <w:t>in</w:t>
            </w:r>
            <w:r>
              <w:rPr>
                <w:spacing w:val="66"/>
                <w:sz w:val="22"/>
              </w:rPr>
              <w:t> </w:t>
            </w:r>
            <w:r>
              <w:rPr>
                <w:sz w:val="22"/>
              </w:rPr>
              <w:t>2022</w:t>
            </w:r>
            <w:r>
              <w:rPr>
                <w:spacing w:val="65"/>
                <w:sz w:val="22"/>
              </w:rPr>
              <w:t> </w:t>
            </w:r>
            <w:r>
              <w:rPr>
                <w:sz w:val="22"/>
              </w:rPr>
              <w:t>and</w:t>
            </w:r>
            <w:r>
              <w:rPr>
                <w:spacing w:val="66"/>
                <w:sz w:val="22"/>
              </w:rPr>
              <w:t> </w:t>
            </w:r>
            <w:r>
              <w:rPr>
                <w:sz w:val="22"/>
              </w:rPr>
              <w:t>2023.</w:t>
            </w:r>
            <w:r>
              <w:rPr>
                <w:spacing w:val="65"/>
                <w:sz w:val="22"/>
              </w:rPr>
              <w:t> </w:t>
            </w:r>
            <w:r>
              <w:rPr>
                <w:sz w:val="22"/>
              </w:rPr>
              <w:t>China</w:t>
            </w:r>
            <w:r>
              <w:rPr>
                <w:spacing w:val="66"/>
                <w:sz w:val="22"/>
              </w:rPr>
              <w:t> </w:t>
            </w:r>
            <w:r>
              <w:rPr>
                <w:spacing w:val="-5"/>
                <w:sz w:val="22"/>
              </w:rPr>
              <w:t>is</w:t>
            </w:r>
          </w:p>
          <w:p>
            <w:pPr>
              <w:pStyle w:val="TableParagraph"/>
              <w:spacing w:line="253" w:lineRule="exact"/>
              <w:jc w:val="both"/>
              <w:rPr>
                <w:sz w:val="22"/>
              </w:rPr>
            </w:pPr>
            <w:r>
              <w:rPr>
                <w:sz w:val="22"/>
              </w:rPr>
              <w:t>expected</w:t>
            </w:r>
            <w:r>
              <w:rPr>
                <w:spacing w:val="10"/>
                <w:sz w:val="22"/>
              </w:rPr>
              <w:t> </w:t>
            </w:r>
            <w:r>
              <w:rPr>
                <w:sz w:val="22"/>
              </w:rPr>
              <w:t>to</w:t>
            </w:r>
            <w:r>
              <w:rPr>
                <w:spacing w:val="13"/>
                <w:sz w:val="22"/>
              </w:rPr>
              <w:t> </w:t>
            </w:r>
            <w:r>
              <w:rPr>
                <w:sz w:val="22"/>
              </w:rPr>
              <w:t>decline</w:t>
            </w:r>
            <w:r>
              <w:rPr>
                <w:spacing w:val="11"/>
                <w:sz w:val="22"/>
              </w:rPr>
              <w:t> </w:t>
            </w:r>
            <w:r>
              <w:rPr>
                <w:sz w:val="22"/>
              </w:rPr>
              <w:t>from</w:t>
            </w:r>
            <w:r>
              <w:rPr>
                <w:spacing w:val="8"/>
                <w:sz w:val="22"/>
              </w:rPr>
              <w:t> </w:t>
            </w:r>
            <w:r>
              <w:rPr>
                <w:sz w:val="22"/>
              </w:rPr>
              <w:t>8.1%</w:t>
            </w:r>
            <w:r>
              <w:rPr>
                <w:spacing w:val="15"/>
                <w:sz w:val="22"/>
              </w:rPr>
              <w:t> </w:t>
            </w:r>
            <w:r>
              <w:rPr>
                <w:sz w:val="22"/>
              </w:rPr>
              <w:t>growth</w:t>
            </w:r>
            <w:r>
              <w:rPr>
                <w:spacing w:val="10"/>
                <w:sz w:val="22"/>
              </w:rPr>
              <w:t> </w:t>
            </w:r>
            <w:r>
              <w:rPr>
                <w:sz w:val="22"/>
              </w:rPr>
              <w:t>in</w:t>
            </w:r>
            <w:r>
              <w:rPr>
                <w:spacing w:val="12"/>
                <w:sz w:val="22"/>
              </w:rPr>
              <w:t> </w:t>
            </w:r>
            <w:r>
              <w:rPr>
                <w:sz w:val="22"/>
              </w:rPr>
              <w:t>2021</w:t>
            </w:r>
            <w:r>
              <w:rPr>
                <w:spacing w:val="10"/>
                <w:sz w:val="22"/>
              </w:rPr>
              <w:t> </w:t>
            </w:r>
            <w:r>
              <w:rPr>
                <w:sz w:val="22"/>
              </w:rPr>
              <w:t>to</w:t>
            </w:r>
            <w:r>
              <w:rPr>
                <w:spacing w:val="12"/>
                <w:sz w:val="22"/>
              </w:rPr>
              <w:t> </w:t>
            </w:r>
            <w:r>
              <w:rPr>
                <w:sz w:val="22"/>
              </w:rPr>
              <w:t>3.2%</w:t>
            </w:r>
            <w:r>
              <w:rPr>
                <w:spacing w:val="14"/>
                <w:sz w:val="22"/>
              </w:rPr>
              <w:t> </w:t>
            </w:r>
            <w:r>
              <w:rPr>
                <w:sz w:val="22"/>
              </w:rPr>
              <w:t>in</w:t>
            </w:r>
            <w:r>
              <w:rPr>
                <w:spacing w:val="12"/>
                <w:sz w:val="22"/>
              </w:rPr>
              <w:t> </w:t>
            </w:r>
            <w:r>
              <w:rPr>
                <w:sz w:val="22"/>
              </w:rPr>
              <w:t>2022</w:t>
            </w:r>
            <w:r>
              <w:rPr>
                <w:spacing w:val="13"/>
                <w:sz w:val="22"/>
              </w:rPr>
              <w:t> </w:t>
            </w:r>
            <w:r>
              <w:rPr>
                <w:spacing w:val="-5"/>
                <w:sz w:val="22"/>
              </w:rPr>
              <w:t>and</w:t>
            </w:r>
          </w:p>
          <w:p>
            <w:pPr>
              <w:pStyle w:val="TableParagraph"/>
              <w:spacing w:line="240" w:lineRule="auto" w:before="21"/>
              <w:jc w:val="both"/>
              <w:rPr>
                <w:sz w:val="22"/>
              </w:rPr>
            </w:pPr>
            <w:r>
              <w:rPr>
                <w:sz w:val="22"/>
              </w:rPr>
              <w:t>4.4%</w:t>
            </w:r>
            <w:r>
              <w:rPr>
                <w:spacing w:val="-4"/>
                <w:sz w:val="22"/>
              </w:rPr>
              <w:t> </w:t>
            </w:r>
            <w:r>
              <w:rPr>
                <w:sz w:val="22"/>
              </w:rPr>
              <w:t>in </w:t>
            </w:r>
            <w:r>
              <w:rPr>
                <w:spacing w:val="-2"/>
                <w:sz w:val="22"/>
              </w:rPr>
              <w:t>2023.</w:t>
            </w:r>
          </w:p>
          <w:p>
            <w:pPr>
              <w:pStyle w:val="TableParagraph"/>
              <w:spacing w:line="259" w:lineRule="auto" w:before="179"/>
              <w:ind w:right="46"/>
              <w:rPr>
                <w:sz w:val="22"/>
              </w:rPr>
            </w:pPr>
            <w:r>
              <w:rPr>
                <w:sz w:val="22"/>
              </w:rPr>
              <w:t>Sub-Saharan African growth is predicted to drop from 4.7% in 2021 to</w:t>
            </w:r>
            <w:r>
              <w:rPr>
                <w:spacing w:val="54"/>
                <w:sz w:val="22"/>
              </w:rPr>
              <w:t> </w:t>
            </w:r>
            <w:r>
              <w:rPr>
                <w:sz w:val="22"/>
              </w:rPr>
              <w:t>3.6%</w:t>
            </w:r>
            <w:r>
              <w:rPr>
                <w:spacing w:val="57"/>
                <w:sz w:val="22"/>
              </w:rPr>
              <w:t> </w:t>
            </w:r>
            <w:r>
              <w:rPr>
                <w:sz w:val="22"/>
              </w:rPr>
              <w:t>in</w:t>
            </w:r>
            <w:r>
              <w:rPr>
                <w:spacing w:val="57"/>
                <w:sz w:val="22"/>
              </w:rPr>
              <w:t> </w:t>
            </w:r>
            <w:r>
              <w:rPr>
                <w:sz w:val="22"/>
              </w:rPr>
              <w:t>2022</w:t>
            </w:r>
            <w:r>
              <w:rPr>
                <w:spacing w:val="56"/>
                <w:sz w:val="22"/>
              </w:rPr>
              <w:t> </w:t>
            </w:r>
            <w:r>
              <w:rPr>
                <w:sz w:val="22"/>
              </w:rPr>
              <w:t>and</w:t>
            </w:r>
            <w:r>
              <w:rPr>
                <w:spacing w:val="57"/>
                <w:sz w:val="22"/>
              </w:rPr>
              <w:t> </w:t>
            </w:r>
            <w:r>
              <w:rPr>
                <w:sz w:val="22"/>
              </w:rPr>
              <w:t>pick</w:t>
            </w:r>
            <w:r>
              <w:rPr>
                <w:spacing w:val="55"/>
                <w:sz w:val="22"/>
              </w:rPr>
              <w:t> </w:t>
            </w:r>
            <w:r>
              <w:rPr>
                <w:sz w:val="22"/>
              </w:rPr>
              <w:t>to</w:t>
            </w:r>
            <w:r>
              <w:rPr>
                <w:spacing w:val="56"/>
                <w:sz w:val="22"/>
              </w:rPr>
              <w:t> </w:t>
            </w:r>
            <w:r>
              <w:rPr>
                <w:sz w:val="22"/>
              </w:rPr>
              <w:t>3.7%</w:t>
            </w:r>
            <w:r>
              <w:rPr>
                <w:spacing w:val="57"/>
                <w:sz w:val="22"/>
              </w:rPr>
              <w:t> </w:t>
            </w:r>
            <w:r>
              <w:rPr>
                <w:sz w:val="22"/>
              </w:rPr>
              <w:t>in</w:t>
            </w:r>
            <w:r>
              <w:rPr>
                <w:spacing w:val="57"/>
                <w:sz w:val="22"/>
              </w:rPr>
              <w:t> </w:t>
            </w:r>
            <w:r>
              <w:rPr>
                <w:sz w:val="22"/>
              </w:rPr>
              <w:t>2023.</w:t>
            </w:r>
            <w:r>
              <w:rPr>
                <w:spacing w:val="59"/>
                <w:sz w:val="22"/>
              </w:rPr>
              <w:t> </w:t>
            </w:r>
            <w:r>
              <w:rPr>
                <w:sz w:val="22"/>
              </w:rPr>
              <w:t>Growth</w:t>
            </w:r>
            <w:r>
              <w:rPr>
                <w:spacing w:val="56"/>
                <w:sz w:val="22"/>
              </w:rPr>
              <w:t> </w:t>
            </w:r>
            <w:r>
              <w:rPr>
                <w:sz w:val="22"/>
              </w:rPr>
              <w:t>in</w:t>
            </w:r>
            <w:r>
              <w:rPr>
                <w:spacing w:val="59"/>
                <w:sz w:val="22"/>
              </w:rPr>
              <w:t> </w:t>
            </w:r>
            <w:r>
              <w:rPr>
                <w:spacing w:val="-2"/>
                <w:sz w:val="22"/>
              </w:rPr>
              <w:t>Nigeria</w:t>
            </w:r>
          </w:p>
          <w:p>
            <w:pPr>
              <w:pStyle w:val="TableParagraph"/>
              <w:spacing w:line="240" w:lineRule="auto" w:before="1"/>
              <w:rPr>
                <w:sz w:val="22"/>
              </w:rPr>
            </w:pPr>
            <w:r>
              <w:rPr>
                <w:sz w:val="22"/>
              </w:rPr>
              <w:t>dropped</w:t>
            </w:r>
            <w:r>
              <w:rPr>
                <w:spacing w:val="2"/>
                <w:sz w:val="22"/>
              </w:rPr>
              <w:t> </w:t>
            </w:r>
            <w:r>
              <w:rPr>
                <w:sz w:val="22"/>
              </w:rPr>
              <w:t>from</w:t>
            </w:r>
            <w:r>
              <w:rPr>
                <w:spacing w:val="-1"/>
                <w:sz w:val="22"/>
              </w:rPr>
              <w:t> </w:t>
            </w:r>
            <w:r>
              <w:rPr>
                <w:sz w:val="22"/>
              </w:rPr>
              <w:t>3.6%</w:t>
            </w:r>
            <w:r>
              <w:rPr>
                <w:spacing w:val="3"/>
                <w:sz w:val="22"/>
              </w:rPr>
              <w:t> </w:t>
            </w:r>
            <w:r>
              <w:rPr>
                <w:sz w:val="22"/>
              </w:rPr>
              <w:t>in</w:t>
            </w:r>
            <w:r>
              <w:rPr>
                <w:spacing w:val="2"/>
                <w:sz w:val="22"/>
              </w:rPr>
              <w:t> </w:t>
            </w:r>
            <w:r>
              <w:rPr>
                <w:sz w:val="22"/>
              </w:rPr>
              <w:t>2021</w:t>
            </w:r>
            <w:r>
              <w:rPr>
                <w:spacing w:val="5"/>
                <w:sz w:val="22"/>
              </w:rPr>
              <w:t> </w:t>
            </w:r>
            <w:r>
              <w:rPr>
                <w:sz w:val="22"/>
              </w:rPr>
              <w:t>and</w:t>
            </w:r>
            <w:r>
              <w:rPr>
                <w:spacing w:val="3"/>
                <w:sz w:val="22"/>
              </w:rPr>
              <w:t> </w:t>
            </w:r>
            <w:r>
              <w:rPr>
                <w:sz w:val="22"/>
              </w:rPr>
              <w:t>is</w:t>
            </w:r>
            <w:r>
              <w:rPr>
                <w:spacing w:val="4"/>
                <w:sz w:val="22"/>
              </w:rPr>
              <w:t> </w:t>
            </w:r>
            <w:r>
              <w:rPr>
                <w:sz w:val="22"/>
              </w:rPr>
              <w:t>projected</w:t>
            </w:r>
            <w:r>
              <w:rPr>
                <w:spacing w:val="2"/>
                <w:sz w:val="22"/>
              </w:rPr>
              <w:t> </w:t>
            </w:r>
            <w:r>
              <w:rPr>
                <w:sz w:val="22"/>
              </w:rPr>
              <w:t>to reach</w:t>
            </w:r>
            <w:r>
              <w:rPr>
                <w:spacing w:val="2"/>
                <w:sz w:val="22"/>
              </w:rPr>
              <w:t> </w:t>
            </w:r>
            <w:r>
              <w:rPr>
                <w:sz w:val="22"/>
              </w:rPr>
              <w:t>3.2%</w:t>
            </w:r>
            <w:r>
              <w:rPr>
                <w:spacing w:val="3"/>
                <w:sz w:val="22"/>
              </w:rPr>
              <w:t> </w:t>
            </w:r>
            <w:r>
              <w:rPr>
                <w:sz w:val="22"/>
              </w:rPr>
              <w:t>and</w:t>
            </w:r>
            <w:r>
              <w:rPr>
                <w:spacing w:val="3"/>
                <w:sz w:val="22"/>
              </w:rPr>
              <w:t> </w:t>
            </w:r>
            <w:r>
              <w:rPr>
                <w:spacing w:val="-4"/>
                <w:sz w:val="22"/>
              </w:rPr>
              <w:t>3.0%</w:t>
            </w:r>
          </w:p>
          <w:p>
            <w:pPr>
              <w:pStyle w:val="TableParagraph"/>
              <w:spacing w:line="240" w:lineRule="auto" w:before="18"/>
              <w:rPr>
                <w:sz w:val="22"/>
              </w:rPr>
            </w:pPr>
            <w:r>
              <w:rPr>
                <w:sz w:val="22"/>
              </w:rPr>
              <w:t>in</w:t>
            </w:r>
            <w:r>
              <w:rPr>
                <w:spacing w:val="32"/>
                <w:sz w:val="22"/>
              </w:rPr>
              <w:t> </w:t>
            </w:r>
            <w:r>
              <w:rPr>
                <w:sz w:val="22"/>
              </w:rPr>
              <w:t>2022</w:t>
            </w:r>
            <w:r>
              <w:rPr>
                <w:spacing w:val="32"/>
                <w:sz w:val="22"/>
              </w:rPr>
              <w:t> </w:t>
            </w:r>
            <w:r>
              <w:rPr>
                <w:sz w:val="22"/>
              </w:rPr>
              <w:t>and</w:t>
            </w:r>
            <w:r>
              <w:rPr>
                <w:spacing w:val="32"/>
                <w:sz w:val="22"/>
              </w:rPr>
              <w:t> </w:t>
            </w:r>
            <w:r>
              <w:rPr>
                <w:sz w:val="22"/>
              </w:rPr>
              <w:t>2023</w:t>
            </w:r>
            <w:r>
              <w:rPr>
                <w:spacing w:val="31"/>
                <w:sz w:val="22"/>
              </w:rPr>
              <w:t> </w:t>
            </w:r>
            <w:r>
              <w:rPr>
                <w:sz w:val="22"/>
              </w:rPr>
              <w:t>respectively.</w:t>
            </w:r>
            <w:r>
              <w:rPr>
                <w:spacing w:val="33"/>
                <w:sz w:val="22"/>
              </w:rPr>
              <w:t> </w:t>
            </w:r>
            <w:r>
              <w:rPr>
                <w:sz w:val="22"/>
              </w:rPr>
              <w:t>On</w:t>
            </w:r>
            <w:r>
              <w:rPr>
                <w:spacing w:val="33"/>
                <w:sz w:val="22"/>
              </w:rPr>
              <w:t> </w:t>
            </w:r>
            <w:r>
              <w:rPr>
                <w:sz w:val="22"/>
              </w:rPr>
              <w:t>the</w:t>
            </w:r>
            <w:r>
              <w:rPr>
                <w:spacing w:val="34"/>
                <w:sz w:val="22"/>
              </w:rPr>
              <w:t> </w:t>
            </w:r>
            <w:r>
              <w:rPr>
                <w:sz w:val="22"/>
              </w:rPr>
              <w:t>other</w:t>
            </w:r>
            <w:r>
              <w:rPr>
                <w:spacing w:val="32"/>
                <w:sz w:val="22"/>
              </w:rPr>
              <w:t> </w:t>
            </w:r>
            <w:r>
              <w:rPr>
                <w:sz w:val="22"/>
              </w:rPr>
              <w:t>hand,</w:t>
            </w:r>
            <w:r>
              <w:rPr>
                <w:spacing w:val="31"/>
                <w:sz w:val="22"/>
              </w:rPr>
              <w:t> </w:t>
            </w:r>
            <w:r>
              <w:rPr>
                <w:sz w:val="22"/>
              </w:rPr>
              <w:t>South</w:t>
            </w:r>
            <w:r>
              <w:rPr>
                <w:spacing w:val="34"/>
                <w:sz w:val="22"/>
              </w:rPr>
              <w:t> </w:t>
            </w:r>
            <w:r>
              <w:rPr>
                <w:spacing w:val="-2"/>
                <w:sz w:val="22"/>
              </w:rPr>
              <w:t>Africa’s</w:t>
            </w:r>
          </w:p>
        </w:tc>
        <w:tc>
          <w:tcPr>
            <w:tcW w:w="3168" w:type="dxa"/>
          </w:tcPr>
          <w:p>
            <w:pPr>
              <w:pStyle w:val="TableParagraph"/>
              <w:spacing w:line="240" w:lineRule="auto"/>
              <w:ind w:left="0"/>
              <w:rPr>
                <w:sz w:val="24"/>
              </w:rPr>
            </w:pPr>
          </w:p>
          <w:p>
            <w:pPr>
              <w:pStyle w:val="TableParagraph"/>
              <w:spacing w:line="240" w:lineRule="auto"/>
              <w:ind w:left="0"/>
              <w:rPr>
                <w:sz w:val="23"/>
              </w:rPr>
            </w:pPr>
          </w:p>
          <w:p>
            <w:pPr>
              <w:pStyle w:val="TableParagraph"/>
              <w:spacing w:line="259" w:lineRule="auto"/>
              <w:ind w:left="105" w:right="96"/>
              <w:jc w:val="both"/>
              <w:rPr>
                <w:sz w:val="22"/>
              </w:rPr>
            </w:pPr>
            <w:r>
              <w:rPr>
                <w:sz w:val="22"/>
              </w:rPr>
              <w:t>Subdued global </w:t>
            </w:r>
            <w:r>
              <w:rPr>
                <w:sz w:val="22"/>
              </w:rPr>
              <w:t>economic activity with spill over to the local economy.</w:t>
            </w:r>
          </w:p>
        </w:tc>
      </w:tr>
    </w:tbl>
    <w:p>
      <w:pPr>
        <w:pStyle w:val="BodyText"/>
        <w:spacing w:before="8"/>
        <w:rPr>
          <w:sz w:val="21"/>
        </w:rPr>
      </w:pPr>
      <w:r>
        <w:rPr/>
        <w:pict>
          <v:rect style="position:absolute;margin-left:72.024002pt;margin-top:13.68598pt;width:144.020pt;height:.72003pt;mso-position-horizontal-relative:page;mso-position-vertical-relative:paragraph;z-index:-15726592;mso-wrap-distance-left:0;mso-wrap-distance-right:0" id="docshape6" filled="true" fillcolor="#000000" stroked="false">
            <v:fill type="solid"/>
            <w10:wrap type="topAndBottom"/>
          </v:rect>
        </w:pict>
      </w:r>
    </w:p>
    <w:p>
      <w:pPr>
        <w:spacing w:line="247" w:lineRule="auto" w:before="105"/>
        <w:ind w:left="660" w:right="0" w:firstLine="0"/>
        <w:jc w:val="left"/>
        <w:rPr>
          <w:sz w:val="18"/>
        </w:rPr>
      </w:pPr>
      <w:r>
        <w:rPr>
          <w:rFonts w:ascii="Calibri"/>
          <w:position w:val="5"/>
          <w:sz w:val="12"/>
        </w:rPr>
        <w:t>1</w:t>
      </w:r>
      <w:r>
        <w:rPr>
          <w:rFonts w:ascii="Calibri"/>
          <w:spacing w:val="10"/>
          <w:position w:val="5"/>
          <w:sz w:val="12"/>
        </w:rPr>
        <w:t> </w:t>
      </w:r>
      <w:r>
        <w:rPr>
          <w:sz w:val="18"/>
        </w:rPr>
        <w:t>The</w:t>
      </w:r>
      <w:r>
        <w:rPr>
          <w:spacing w:val="-3"/>
          <w:sz w:val="18"/>
        </w:rPr>
        <w:t> </w:t>
      </w:r>
      <w:r>
        <w:rPr>
          <w:sz w:val="18"/>
        </w:rPr>
        <w:t>Quarterly</w:t>
      </w:r>
      <w:r>
        <w:rPr>
          <w:spacing w:val="-6"/>
          <w:sz w:val="18"/>
        </w:rPr>
        <w:t> </w:t>
      </w:r>
      <w:r>
        <w:rPr>
          <w:sz w:val="18"/>
        </w:rPr>
        <w:t>Economic</w:t>
      </w:r>
      <w:r>
        <w:rPr>
          <w:spacing w:val="-2"/>
          <w:sz w:val="18"/>
        </w:rPr>
        <w:t> </w:t>
      </w:r>
      <w:r>
        <w:rPr>
          <w:sz w:val="18"/>
        </w:rPr>
        <w:t>Bulletin</w:t>
      </w:r>
      <w:r>
        <w:rPr>
          <w:spacing w:val="-3"/>
          <w:sz w:val="18"/>
        </w:rPr>
        <w:t> </w:t>
      </w:r>
      <w:r>
        <w:rPr>
          <w:sz w:val="18"/>
        </w:rPr>
        <w:t>is</w:t>
      </w:r>
      <w:r>
        <w:rPr>
          <w:spacing w:val="-2"/>
          <w:sz w:val="18"/>
        </w:rPr>
        <w:t> </w:t>
      </w:r>
      <w:r>
        <w:rPr>
          <w:sz w:val="18"/>
        </w:rPr>
        <w:t>released</w:t>
      </w:r>
      <w:r>
        <w:rPr>
          <w:spacing w:val="-1"/>
          <w:sz w:val="18"/>
        </w:rPr>
        <w:t> </w:t>
      </w:r>
      <w:r>
        <w:rPr>
          <w:sz w:val="18"/>
        </w:rPr>
        <w:t>with</w:t>
      </w:r>
      <w:r>
        <w:rPr>
          <w:spacing w:val="-1"/>
          <w:sz w:val="18"/>
        </w:rPr>
        <w:t> </w:t>
      </w:r>
      <w:r>
        <w:rPr>
          <w:sz w:val="18"/>
        </w:rPr>
        <w:t>a</w:t>
      </w:r>
      <w:r>
        <w:rPr>
          <w:spacing w:val="-3"/>
          <w:sz w:val="18"/>
        </w:rPr>
        <w:t> </w:t>
      </w:r>
      <w:r>
        <w:rPr>
          <w:sz w:val="18"/>
        </w:rPr>
        <w:t>month</w:t>
      </w:r>
      <w:r>
        <w:rPr>
          <w:spacing w:val="-1"/>
          <w:sz w:val="18"/>
        </w:rPr>
        <w:t> </w:t>
      </w:r>
      <w:r>
        <w:rPr>
          <w:sz w:val="18"/>
        </w:rPr>
        <w:t>lag</w:t>
      </w:r>
      <w:r>
        <w:rPr>
          <w:spacing w:val="-4"/>
          <w:sz w:val="18"/>
        </w:rPr>
        <w:t> </w:t>
      </w:r>
      <w:r>
        <w:rPr>
          <w:sz w:val="18"/>
        </w:rPr>
        <w:t>after the</w:t>
      </w:r>
      <w:r>
        <w:rPr>
          <w:spacing w:val="-3"/>
          <w:sz w:val="18"/>
        </w:rPr>
        <w:t> </w:t>
      </w:r>
      <w:r>
        <w:rPr>
          <w:sz w:val="18"/>
        </w:rPr>
        <w:t>end</w:t>
      </w:r>
      <w:r>
        <w:rPr>
          <w:spacing w:val="-1"/>
          <w:sz w:val="18"/>
        </w:rPr>
        <w:t> </w:t>
      </w:r>
      <w:r>
        <w:rPr>
          <w:sz w:val="18"/>
        </w:rPr>
        <w:t>of</w:t>
      </w:r>
      <w:r>
        <w:rPr>
          <w:spacing w:val="-4"/>
          <w:sz w:val="18"/>
        </w:rPr>
        <w:t> </w:t>
      </w:r>
      <w:r>
        <w:rPr>
          <w:sz w:val="18"/>
        </w:rPr>
        <w:t>each</w:t>
      </w:r>
      <w:r>
        <w:rPr>
          <w:spacing w:val="-1"/>
          <w:sz w:val="18"/>
        </w:rPr>
        <w:t> </w:t>
      </w:r>
      <w:r>
        <w:rPr>
          <w:sz w:val="18"/>
        </w:rPr>
        <w:t>calendar quarter.</w:t>
      </w:r>
      <w:r>
        <w:rPr>
          <w:spacing w:val="-4"/>
          <w:sz w:val="18"/>
        </w:rPr>
        <w:t> </w:t>
      </w:r>
      <w:r>
        <w:rPr>
          <w:sz w:val="18"/>
        </w:rPr>
        <w:t>It</w:t>
      </w:r>
      <w:r>
        <w:rPr>
          <w:spacing w:val="-2"/>
          <w:sz w:val="18"/>
        </w:rPr>
        <w:t> </w:t>
      </w:r>
      <w:r>
        <w:rPr>
          <w:sz w:val="18"/>
        </w:rPr>
        <w:t>is</w:t>
      </w:r>
      <w:r>
        <w:rPr>
          <w:spacing w:val="-2"/>
          <w:sz w:val="18"/>
        </w:rPr>
        <w:t> </w:t>
      </w:r>
      <w:r>
        <w:rPr>
          <w:sz w:val="18"/>
        </w:rPr>
        <w:t>downloadable</w:t>
      </w:r>
      <w:r>
        <w:rPr>
          <w:spacing w:val="-2"/>
          <w:sz w:val="18"/>
        </w:rPr>
        <w:t> </w:t>
      </w:r>
      <w:r>
        <w:rPr>
          <w:sz w:val="18"/>
        </w:rPr>
        <w:t>at </w:t>
      </w:r>
      <w:hyperlink r:id="rId8">
        <w:r>
          <w:rPr>
            <w:color w:val="0462C1"/>
            <w:spacing w:val="-2"/>
            <w:sz w:val="18"/>
            <w:u w:val="single" w:color="0462C1"/>
          </w:rPr>
          <w:t>www.finance.gov.bw</w:t>
        </w:r>
      </w:hyperlink>
    </w:p>
    <w:p>
      <w:pPr>
        <w:spacing w:after="0" w:line="247" w:lineRule="auto"/>
        <w:jc w:val="left"/>
        <w:rPr>
          <w:sz w:val="18"/>
        </w:rPr>
        <w:sectPr>
          <w:pgSz w:w="11910" w:h="16840"/>
          <w:pgMar w:header="0" w:footer="1003" w:top="1340" w:bottom="1200" w:left="780" w:right="680"/>
        </w:sectPr>
      </w:pPr>
    </w:p>
    <w:tbl>
      <w:tblPr>
        <w:tblW w:w="0" w:type="auto"/>
        <w:jc w:val="left"/>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20"/>
        <w:gridCol w:w="3168"/>
      </w:tblGrid>
      <w:tr>
        <w:trPr>
          <w:trHeight w:val="1526" w:hRule="atLeast"/>
        </w:trPr>
        <w:tc>
          <w:tcPr>
            <w:tcW w:w="6320" w:type="dxa"/>
          </w:tcPr>
          <w:p>
            <w:pPr>
              <w:pStyle w:val="TableParagraph"/>
              <w:spacing w:line="259" w:lineRule="auto"/>
              <w:ind w:right="93"/>
              <w:jc w:val="both"/>
              <w:rPr>
                <w:sz w:val="22"/>
              </w:rPr>
            </w:pPr>
            <w:r>
              <w:rPr>
                <w:sz w:val="22"/>
              </w:rPr>
              <w:t>projections show a decline from 4.9 % growth in 2021 to 2.1% in 2022 and further fall to 1.1% in 2023. The subdued decline in South Africa may negatively affect collection and distribution of SACU revenues</w:t>
            </w:r>
            <w:r>
              <w:rPr>
                <w:spacing w:val="-2"/>
                <w:sz w:val="22"/>
              </w:rPr>
              <w:t> </w:t>
            </w:r>
            <w:r>
              <w:rPr>
                <w:sz w:val="22"/>
              </w:rPr>
              <w:t>possibly</w:t>
            </w:r>
            <w:r>
              <w:rPr>
                <w:spacing w:val="-5"/>
                <w:sz w:val="22"/>
              </w:rPr>
              <w:t> </w:t>
            </w:r>
            <w:r>
              <w:rPr>
                <w:sz w:val="22"/>
              </w:rPr>
              <w:t>affecting</w:t>
            </w:r>
            <w:r>
              <w:rPr>
                <w:spacing w:val="-5"/>
                <w:sz w:val="22"/>
              </w:rPr>
              <w:t> </w:t>
            </w:r>
            <w:r>
              <w:rPr>
                <w:sz w:val="22"/>
              </w:rPr>
              <w:t>distributions</w:t>
            </w:r>
            <w:r>
              <w:rPr>
                <w:spacing w:val="-2"/>
                <w:sz w:val="22"/>
              </w:rPr>
              <w:t> </w:t>
            </w:r>
            <w:r>
              <w:rPr>
                <w:sz w:val="22"/>
              </w:rPr>
              <w:t>to</w:t>
            </w:r>
            <w:r>
              <w:rPr>
                <w:spacing w:val="-2"/>
                <w:sz w:val="22"/>
              </w:rPr>
              <w:t> </w:t>
            </w:r>
            <w:r>
              <w:rPr>
                <w:sz w:val="22"/>
              </w:rPr>
              <w:t>Botswana</w:t>
            </w:r>
            <w:r>
              <w:rPr>
                <w:spacing w:val="-2"/>
                <w:sz w:val="22"/>
              </w:rPr>
              <w:t> </w:t>
            </w:r>
            <w:r>
              <w:rPr>
                <w:sz w:val="22"/>
              </w:rPr>
              <w:t>in</w:t>
            </w:r>
            <w:r>
              <w:rPr>
                <w:spacing w:val="-2"/>
                <w:sz w:val="22"/>
              </w:rPr>
              <w:t> </w:t>
            </w:r>
            <w:r>
              <w:rPr>
                <w:sz w:val="22"/>
              </w:rPr>
              <w:t>future</w:t>
            </w:r>
            <w:r>
              <w:rPr>
                <w:spacing w:val="-2"/>
                <w:sz w:val="22"/>
              </w:rPr>
              <w:t> </w:t>
            </w:r>
            <w:r>
              <w:rPr>
                <w:sz w:val="22"/>
              </w:rPr>
              <w:t>years, as well as the buoyancy of the regional economy in general.</w:t>
            </w:r>
          </w:p>
        </w:tc>
        <w:tc>
          <w:tcPr>
            <w:tcW w:w="3168" w:type="dxa"/>
          </w:tcPr>
          <w:p>
            <w:pPr>
              <w:pStyle w:val="TableParagraph"/>
              <w:spacing w:line="240" w:lineRule="auto"/>
              <w:ind w:left="0"/>
              <w:rPr>
                <w:sz w:val="22"/>
              </w:rPr>
            </w:pPr>
          </w:p>
        </w:tc>
      </w:tr>
      <w:tr>
        <w:trPr>
          <w:trHeight w:val="4322" w:hRule="atLeast"/>
        </w:trPr>
        <w:tc>
          <w:tcPr>
            <w:tcW w:w="6320" w:type="dxa"/>
          </w:tcPr>
          <w:p>
            <w:pPr>
              <w:pStyle w:val="TableParagraph"/>
              <w:spacing w:line="251" w:lineRule="exact"/>
              <w:ind w:left="467"/>
              <w:rPr>
                <w:b/>
                <w:sz w:val="22"/>
              </w:rPr>
            </w:pPr>
            <w:r>
              <w:rPr>
                <w:b/>
                <w:sz w:val="22"/>
              </w:rPr>
              <w:t>b.</w:t>
            </w:r>
            <w:r>
              <w:rPr>
                <w:b/>
                <w:spacing w:val="33"/>
                <w:sz w:val="22"/>
              </w:rPr>
              <w:t>  </w:t>
            </w:r>
            <w:r>
              <w:rPr>
                <w:b/>
                <w:sz w:val="22"/>
              </w:rPr>
              <w:t>Oil prices</w:t>
            </w:r>
            <w:r>
              <w:rPr>
                <w:b/>
                <w:spacing w:val="-1"/>
                <w:sz w:val="22"/>
              </w:rPr>
              <w:t> </w:t>
            </w:r>
            <w:r>
              <w:rPr>
                <w:b/>
                <w:spacing w:val="-2"/>
                <w:sz w:val="22"/>
              </w:rPr>
              <w:t>decline</w:t>
            </w:r>
          </w:p>
          <w:p>
            <w:pPr>
              <w:pStyle w:val="TableParagraph"/>
              <w:spacing w:line="240" w:lineRule="auto" w:before="11"/>
              <w:ind w:left="0"/>
              <w:rPr>
                <w:sz w:val="24"/>
              </w:rPr>
            </w:pPr>
          </w:p>
          <w:p>
            <w:pPr>
              <w:pStyle w:val="TableParagraph"/>
              <w:spacing w:line="256" w:lineRule="auto"/>
              <w:ind w:right="95"/>
              <w:jc w:val="both"/>
              <w:rPr>
                <w:sz w:val="22"/>
              </w:rPr>
            </w:pPr>
            <w:r>
              <w:rPr>
                <w:sz w:val="22"/>
              </w:rPr>
              <w:t>Brent Crude Oil prices continued to show a decline in September, reflecting improved supply. As at end of September, 2022 world crude</w:t>
            </w:r>
            <w:r>
              <w:rPr>
                <w:spacing w:val="-1"/>
                <w:sz w:val="22"/>
              </w:rPr>
              <w:t> </w:t>
            </w:r>
            <w:r>
              <w:rPr>
                <w:sz w:val="22"/>
              </w:rPr>
              <w:t>oil prices were at $77.29/bbl, down</w:t>
            </w:r>
            <w:r>
              <w:rPr>
                <w:spacing w:val="-1"/>
                <w:sz w:val="22"/>
              </w:rPr>
              <w:t> </w:t>
            </w:r>
            <w:r>
              <w:rPr>
                <w:sz w:val="22"/>
              </w:rPr>
              <w:t>from</w:t>
            </w:r>
            <w:r>
              <w:rPr>
                <w:spacing w:val="-2"/>
                <w:sz w:val="22"/>
              </w:rPr>
              <w:t> </w:t>
            </w:r>
            <w:r>
              <w:rPr>
                <w:sz w:val="22"/>
              </w:rPr>
              <w:t>$97.01/bbl in August 2022. The reduction in oil prices fed through to domestic prices with local fuel prices being reduced: unleaded 93 and 95 down by P1 per litre, diesel 50ppm</w:t>
            </w:r>
            <w:r>
              <w:rPr>
                <w:spacing w:val="-1"/>
                <w:sz w:val="22"/>
              </w:rPr>
              <w:t> </w:t>
            </w:r>
            <w:r>
              <w:rPr>
                <w:sz w:val="22"/>
              </w:rPr>
              <w:t>by 23t per litre and paraffin by 8t per litre. Going forward, the Brent crude oil spot price is forecast to average $93/bbl per barrel in the fourth quarter of 2022 and $95/bbl in 2023. These developments may ease inflationary pressures, especially food and fuel prices in the short to medium</w:t>
            </w:r>
            <w:r>
              <w:rPr>
                <w:spacing w:val="-1"/>
                <w:sz w:val="22"/>
              </w:rPr>
              <w:t> </w:t>
            </w:r>
            <w:r>
              <w:rPr>
                <w:sz w:val="22"/>
              </w:rPr>
              <w:t>term. This may, however, be short lived following OPEC+ decision to cut oil supply. As such, upside risks to the inflation outlook remain elevated. Plans to build a strategic oil</w:t>
            </w:r>
            <w:r>
              <w:rPr>
                <w:spacing w:val="5"/>
                <w:sz w:val="22"/>
              </w:rPr>
              <w:t> </w:t>
            </w:r>
            <w:r>
              <w:rPr>
                <w:sz w:val="22"/>
              </w:rPr>
              <w:t>storage</w:t>
            </w:r>
            <w:r>
              <w:rPr>
                <w:spacing w:val="5"/>
                <w:sz w:val="22"/>
              </w:rPr>
              <w:t> </w:t>
            </w:r>
            <w:r>
              <w:rPr>
                <w:sz w:val="22"/>
              </w:rPr>
              <w:t>reserve</w:t>
            </w:r>
            <w:r>
              <w:rPr>
                <w:spacing w:val="2"/>
                <w:sz w:val="22"/>
              </w:rPr>
              <w:t> </w:t>
            </w:r>
            <w:r>
              <w:rPr>
                <w:sz w:val="22"/>
              </w:rPr>
              <w:t>by</w:t>
            </w:r>
            <w:r>
              <w:rPr>
                <w:spacing w:val="2"/>
                <w:sz w:val="22"/>
              </w:rPr>
              <w:t> </w:t>
            </w:r>
            <w:r>
              <w:rPr>
                <w:sz w:val="22"/>
              </w:rPr>
              <w:t>Botswana</w:t>
            </w:r>
            <w:r>
              <w:rPr>
                <w:spacing w:val="4"/>
                <w:sz w:val="22"/>
              </w:rPr>
              <w:t> </w:t>
            </w:r>
            <w:r>
              <w:rPr>
                <w:sz w:val="22"/>
              </w:rPr>
              <w:t>Oil,</w:t>
            </w:r>
            <w:r>
              <w:rPr>
                <w:spacing w:val="4"/>
                <w:sz w:val="22"/>
              </w:rPr>
              <w:t> </w:t>
            </w:r>
            <w:r>
              <w:rPr>
                <w:sz w:val="22"/>
              </w:rPr>
              <w:t>could</w:t>
            </w:r>
            <w:r>
              <w:rPr>
                <w:spacing w:val="2"/>
                <w:sz w:val="22"/>
              </w:rPr>
              <w:t> </w:t>
            </w:r>
            <w:r>
              <w:rPr>
                <w:sz w:val="22"/>
              </w:rPr>
              <w:t>serve</w:t>
            </w:r>
            <w:r>
              <w:rPr>
                <w:spacing w:val="4"/>
                <w:sz w:val="22"/>
              </w:rPr>
              <w:t> </w:t>
            </w:r>
            <w:r>
              <w:rPr>
                <w:sz w:val="22"/>
              </w:rPr>
              <w:t>to</w:t>
            </w:r>
            <w:r>
              <w:rPr>
                <w:spacing w:val="5"/>
                <w:sz w:val="22"/>
              </w:rPr>
              <w:t> </w:t>
            </w:r>
            <w:r>
              <w:rPr>
                <w:spacing w:val="-2"/>
                <w:sz w:val="22"/>
              </w:rPr>
              <w:t>cushion</w:t>
            </w:r>
          </w:p>
          <w:p>
            <w:pPr>
              <w:pStyle w:val="TableParagraph"/>
              <w:spacing w:line="243" w:lineRule="exact"/>
              <w:jc w:val="both"/>
              <w:rPr>
                <w:sz w:val="22"/>
              </w:rPr>
            </w:pPr>
            <w:r>
              <w:rPr>
                <w:sz w:val="22"/>
              </w:rPr>
              <w:t>the</w:t>
            </w:r>
            <w:r>
              <w:rPr>
                <w:spacing w:val="-4"/>
                <w:sz w:val="22"/>
              </w:rPr>
              <w:t> </w:t>
            </w:r>
            <w:r>
              <w:rPr>
                <w:sz w:val="22"/>
              </w:rPr>
              <w:t>economy</w:t>
            </w:r>
            <w:r>
              <w:rPr>
                <w:spacing w:val="-5"/>
                <w:sz w:val="22"/>
              </w:rPr>
              <w:t> </w:t>
            </w:r>
            <w:r>
              <w:rPr>
                <w:sz w:val="22"/>
              </w:rPr>
              <w:t>against</w:t>
            </w:r>
            <w:r>
              <w:rPr>
                <w:spacing w:val="-3"/>
                <w:sz w:val="22"/>
              </w:rPr>
              <w:t> </w:t>
            </w:r>
            <w:r>
              <w:rPr>
                <w:sz w:val="22"/>
              </w:rPr>
              <w:t>future</w:t>
            </w:r>
            <w:r>
              <w:rPr>
                <w:spacing w:val="-5"/>
                <w:sz w:val="22"/>
              </w:rPr>
              <w:t> </w:t>
            </w:r>
            <w:r>
              <w:rPr>
                <w:sz w:val="22"/>
              </w:rPr>
              <w:t>commodity</w:t>
            </w:r>
            <w:r>
              <w:rPr>
                <w:spacing w:val="-6"/>
                <w:sz w:val="22"/>
              </w:rPr>
              <w:t> </w:t>
            </w:r>
            <w:r>
              <w:rPr>
                <w:sz w:val="22"/>
              </w:rPr>
              <w:t>price</w:t>
            </w:r>
            <w:r>
              <w:rPr>
                <w:spacing w:val="-4"/>
                <w:sz w:val="22"/>
              </w:rPr>
              <w:t> </w:t>
            </w:r>
            <w:r>
              <w:rPr>
                <w:spacing w:val="-2"/>
                <w:sz w:val="22"/>
              </w:rPr>
              <w:t>shocks.</w:t>
            </w:r>
          </w:p>
        </w:tc>
        <w:tc>
          <w:tcPr>
            <w:tcW w:w="3168" w:type="dxa"/>
          </w:tcPr>
          <w:p>
            <w:pPr>
              <w:pStyle w:val="TableParagraph"/>
              <w:spacing w:line="247" w:lineRule="exact"/>
              <w:ind w:left="105"/>
              <w:rPr>
                <w:i/>
                <w:sz w:val="22"/>
              </w:rPr>
            </w:pPr>
            <w:r>
              <w:rPr>
                <w:i/>
                <w:sz w:val="22"/>
              </w:rPr>
              <w:t>Possible</w:t>
            </w:r>
            <w:r>
              <w:rPr>
                <w:i/>
                <w:spacing w:val="-4"/>
                <w:sz w:val="22"/>
              </w:rPr>
              <w:t> </w:t>
            </w:r>
            <w:r>
              <w:rPr>
                <w:i/>
                <w:sz w:val="22"/>
              </w:rPr>
              <w:t>Economic</w:t>
            </w:r>
            <w:r>
              <w:rPr>
                <w:i/>
                <w:spacing w:val="-4"/>
                <w:sz w:val="22"/>
              </w:rPr>
              <w:t> </w:t>
            </w:r>
            <w:r>
              <w:rPr>
                <w:i/>
                <w:spacing w:val="-2"/>
                <w:sz w:val="22"/>
              </w:rPr>
              <w:t>Implications:</w:t>
            </w:r>
          </w:p>
          <w:p>
            <w:pPr>
              <w:pStyle w:val="TableParagraph"/>
              <w:spacing w:line="259" w:lineRule="auto" w:before="176"/>
              <w:ind w:left="105"/>
              <w:rPr>
                <w:sz w:val="22"/>
              </w:rPr>
            </w:pPr>
            <w:r>
              <w:rPr>
                <w:sz w:val="22"/>
              </w:rPr>
              <w:t>Reduced</w:t>
            </w:r>
            <w:r>
              <w:rPr>
                <w:spacing w:val="-11"/>
                <w:sz w:val="22"/>
              </w:rPr>
              <w:t> </w:t>
            </w:r>
            <w:r>
              <w:rPr>
                <w:sz w:val="22"/>
              </w:rPr>
              <w:t>inflationary</w:t>
            </w:r>
            <w:r>
              <w:rPr>
                <w:spacing w:val="-13"/>
                <w:sz w:val="22"/>
              </w:rPr>
              <w:t> </w:t>
            </w:r>
            <w:r>
              <w:rPr>
                <w:sz w:val="22"/>
              </w:rPr>
              <w:t>pressures</w:t>
            </w:r>
            <w:r>
              <w:rPr>
                <w:spacing w:val="-11"/>
                <w:sz w:val="22"/>
              </w:rPr>
              <w:t> </w:t>
            </w:r>
            <w:r>
              <w:rPr>
                <w:sz w:val="22"/>
              </w:rPr>
              <w:t>in the short-term.</w:t>
            </w:r>
          </w:p>
        </w:tc>
      </w:tr>
      <w:tr>
        <w:trPr>
          <w:trHeight w:val="5703" w:hRule="atLeast"/>
        </w:trPr>
        <w:tc>
          <w:tcPr>
            <w:tcW w:w="6320" w:type="dxa"/>
          </w:tcPr>
          <w:p>
            <w:pPr>
              <w:pStyle w:val="TableParagraph"/>
              <w:tabs>
                <w:tab w:pos="827" w:val="left" w:leader="none"/>
              </w:tabs>
              <w:spacing w:line="240" w:lineRule="auto" w:before="1"/>
              <w:ind w:left="467"/>
              <w:rPr>
                <w:b/>
                <w:sz w:val="22"/>
              </w:rPr>
            </w:pPr>
            <w:r>
              <w:rPr>
                <w:b/>
                <w:spacing w:val="-5"/>
                <w:sz w:val="22"/>
              </w:rPr>
              <w:t>c.</w:t>
            </w:r>
            <w:r>
              <w:rPr>
                <w:b/>
                <w:sz w:val="22"/>
              </w:rPr>
              <w:tab/>
              <w:t>Domestic</w:t>
            </w:r>
            <w:r>
              <w:rPr>
                <w:b/>
                <w:spacing w:val="-6"/>
                <w:sz w:val="22"/>
              </w:rPr>
              <w:t> </w:t>
            </w:r>
            <w:r>
              <w:rPr>
                <w:b/>
                <w:sz w:val="22"/>
              </w:rPr>
              <w:t>activity</w:t>
            </w:r>
            <w:r>
              <w:rPr>
                <w:b/>
                <w:spacing w:val="-8"/>
                <w:sz w:val="22"/>
              </w:rPr>
              <w:t> </w:t>
            </w:r>
            <w:r>
              <w:rPr>
                <w:b/>
                <w:sz w:val="22"/>
              </w:rPr>
              <w:t>remains</w:t>
            </w:r>
            <w:r>
              <w:rPr>
                <w:b/>
                <w:spacing w:val="-7"/>
                <w:sz w:val="22"/>
              </w:rPr>
              <w:t> </w:t>
            </w:r>
            <w:r>
              <w:rPr>
                <w:b/>
                <w:spacing w:val="-2"/>
                <w:sz w:val="22"/>
              </w:rPr>
              <w:t>strong</w:t>
            </w:r>
          </w:p>
          <w:p>
            <w:pPr>
              <w:pStyle w:val="TableParagraph"/>
              <w:spacing w:line="240" w:lineRule="auto" w:before="10"/>
              <w:ind w:left="0"/>
              <w:rPr>
                <w:sz w:val="24"/>
              </w:rPr>
            </w:pPr>
          </w:p>
          <w:p>
            <w:pPr>
              <w:pStyle w:val="TableParagraph"/>
              <w:spacing w:line="256" w:lineRule="auto" w:before="1"/>
              <w:ind w:right="94"/>
              <w:jc w:val="both"/>
              <w:rPr>
                <w:sz w:val="22"/>
              </w:rPr>
            </w:pPr>
            <w:r>
              <w:rPr>
                <w:sz w:val="22"/>
              </w:rPr>
              <w:t>Real GDP grew by 5.6% (y-on-y) during</w:t>
            </w:r>
            <w:r>
              <w:rPr>
                <w:spacing w:val="-1"/>
                <w:sz w:val="22"/>
              </w:rPr>
              <w:t> </w:t>
            </w:r>
            <w:r>
              <w:rPr>
                <w:sz w:val="22"/>
              </w:rPr>
              <w:t>the</w:t>
            </w:r>
            <w:r>
              <w:rPr>
                <w:spacing w:val="-1"/>
                <w:sz w:val="22"/>
              </w:rPr>
              <w:t> </w:t>
            </w:r>
            <w:r>
              <w:rPr>
                <w:sz w:val="22"/>
              </w:rPr>
              <w:t>second quarter of 2022, compared to 37.1% in the same quarter of 2021. The growth was mainly due to value added of Diamond Traders and Water and Electricity, recording 128% and 94.7% respectively. Other non- mining sectors like manufacturing (9.4%), ICT (6.1%), public administration (5.8%) as well as wholesale &amp; retail (5.4%) also registered positive growth in 2022Q2. Mining &amp; quarrying contracted by 3.4% during the period under review, owing to the decrease of the diamond and gold production by 5% and 18.9% </w:t>
            </w:r>
            <w:r>
              <w:rPr>
                <w:spacing w:val="-2"/>
                <w:sz w:val="22"/>
              </w:rPr>
              <w:t>respectively.</w:t>
            </w:r>
          </w:p>
          <w:p>
            <w:pPr>
              <w:pStyle w:val="TableParagraph"/>
              <w:spacing w:line="240" w:lineRule="auto"/>
              <w:ind w:left="0"/>
              <w:rPr>
                <w:sz w:val="23"/>
              </w:rPr>
            </w:pPr>
          </w:p>
          <w:p>
            <w:pPr>
              <w:pStyle w:val="TableParagraph"/>
              <w:spacing w:line="259" w:lineRule="auto"/>
              <w:ind w:right="97"/>
              <w:jc w:val="both"/>
              <w:rPr>
                <w:sz w:val="22"/>
              </w:rPr>
            </w:pPr>
            <w:r>
              <w:rPr>
                <w:sz w:val="22"/>
              </w:rPr>
              <w:t>The growth outlook remains positive, but there are downside risks associated with constrained demand, if the war in Ukraine is prolonged. Moreover, despite the lifting of the ban on cattle movement in some parts of the country, the combined effects of the suspension of beef exports due to the foot and mouth outbreak as well as drought, could derail growth in the agriculture and manufacturing sectors.</w:t>
            </w:r>
          </w:p>
        </w:tc>
        <w:tc>
          <w:tcPr>
            <w:tcW w:w="3168" w:type="dxa"/>
          </w:tcPr>
          <w:p>
            <w:pPr>
              <w:pStyle w:val="TableParagraph"/>
              <w:spacing w:line="249" w:lineRule="exact"/>
              <w:ind w:left="105"/>
              <w:rPr>
                <w:i/>
                <w:sz w:val="22"/>
              </w:rPr>
            </w:pPr>
            <w:r>
              <w:rPr>
                <w:i/>
                <w:sz w:val="22"/>
              </w:rPr>
              <w:t>Possible</w:t>
            </w:r>
            <w:r>
              <w:rPr>
                <w:i/>
                <w:spacing w:val="-4"/>
                <w:sz w:val="22"/>
              </w:rPr>
              <w:t> </w:t>
            </w:r>
            <w:r>
              <w:rPr>
                <w:i/>
                <w:sz w:val="22"/>
              </w:rPr>
              <w:t>Economic</w:t>
            </w:r>
            <w:r>
              <w:rPr>
                <w:i/>
                <w:spacing w:val="-4"/>
                <w:sz w:val="22"/>
              </w:rPr>
              <w:t> </w:t>
            </w:r>
            <w:r>
              <w:rPr>
                <w:i/>
                <w:spacing w:val="-2"/>
                <w:sz w:val="22"/>
              </w:rPr>
              <w:t>Implications:</w:t>
            </w:r>
          </w:p>
          <w:p>
            <w:pPr>
              <w:pStyle w:val="TableParagraph"/>
              <w:spacing w:line="240" w:lineRule="auto" w:before="176"/>
              <w:ind w:left="105"/>
              <w:rPr>
                <w:sz w:val="22"/>
              </w:rPr>
            </w:pPr>
            <w:r>
              <w:rPr>
                <w:sz w:val="22"/>
              </w:rPr>
              <w:t>Positive</w:t>
            </w:r>
            <w:r>
              <w:rPr>
                <w:spacing w:val="-5"/>
                <w:sz w:val="22"/>
              </w:rPr>
              <w:t> </w:t>
            </w:r>
            <w:r>
              <w:rPr>
                <w:sz w:val="22"/>
              </w:rPr>
              <w:t>growth</w:t>
            </w:r>
            <w:r>
              <w:rPr>
                <w:spacing w:val="-4"/>
                <w:sz w:val="22"/>
              </w:rPr>
              <w:t> </w:t>
            </w:r>
            <w:r>
              <w:rPr>
                <w:spacing w:val="-2"/>
                <w:sz w:val="22"/>
              </w:rPr>
              <w:t>prospects.</w:t>
            </w:r>
          </w:p>
        </w:tc>
      </w:tr>
      <w:tr>
        <w:trPr>
          <w:trHeight w:val="2185" w:hRule="atLeast"/>
        </w:trPr>
        <w:tc>
          <w:tcPr>
            <w:tcW w:w="6320" w:type="dxa"/>
          </w:tcPr>
          <w:p>
            <w:pPr>
              <w:pStyle w:val="TableParagraph"/>
              <w:spacing w:line="251" w:lineRule="exact"/>
              <w:ind w:left="467"/>
              <w:rPr>
                <w:b/>
                <w:sz w:val="22"/>
              </w:rPr>
            </w:pPr>
            <w:r>
              <w:rPr>
                <w:b/>
                <w:sz w:val="22"/>
              </w:rPr>
              <w:t>d.</w:t>
            </w:r>
            <w:r>
              <w:rPr>
                <w:b/>
                <w:spacing w:val="32"/>
                <w:sz w:val="22"/>
              </w:rPr>
              <w:t>  </w:t>
            </w:r>
            <w:r>
              <w:rPr>
                <w:b/>
                <w:sz w:val="22"/>
              </w:rPr>
              <w:t>Diamond</w:t>
            </w:r>
            <w:r>
              <w:rPr>
                <w:b/>
                <w:spacing w:val="-3"/>
                <w:sz w:val="22"/>
              </w:rPr>
              <w:t> </w:t>
            </w:r>
            <w:r>
              <w:rPr>
                <w:b/>
                <w:sz w:val="22"/>
              </w:rPr>
              <w:t>Sales</w:t>
            </w:r>
            <w:r>
              <w:rPr>
                <w:b/>
                <w:spacing w:val="-2"/>
                <w:sz w:val="22"/>
              </w:rPr>
              <w:t> </w:t>
            </w:r>
            <w:r>
              <w:rPr>
                <w:b/>
                <w:sz w:val="22"/>
              </w:rPr>
              <w:t>record</w:t>
            </w:r>
            <w:r>
              <w:rPr>
                <w:b/>
                <w:spacing w:val="-2"/>
                <w:sz w:val="22"/>
              </w:rPr>
              <w:t> </w:t>
            </w:r>
            <w:r>
              <w:rPr>
                <w:b/>
                <w:sz w:val="22"/>
              </w:rPr>
              <w:t>another</w:t>
            </w:r>
            <w:r>
              <w:rPr>
                <w:b/>
                <w:spacing w:val="-4"/>
                <w:sz w:val="22"/>
              </w:rPr>
              <w:t> </w:t>
            </w:r>
            <w:r>
              <w:rPr>
                <w:b/>
                <w:spacing w:val="-2"/>
                <w:sz w:val="22"/>
              </w:rPr>
              <w:t>increase</w:t>
            </w:r>
          </w:p>
          <w:p>
            <w:pPr>
              <w:pStyle w:val="TableParagraph"/>
              <w:spacing w:line="240" w:lineRule="auto" w:before="1"/>
              <w:ind w:left="0"/>
              <w:rPr>
                <w:sz w:val="25"/>
              </w:rPr>
            </w:pPr>
          </w:p>
          <w:p>
            <w:pPr>
              <w:pStyle w:val="TableParagraph"/>
              <w:spacing w:line="259" w:lineRule="auto" w:before="1"/>
              <w:ind w:right="92"/>
              <w:jc w:val="both"/>
              <w:rPr>
                <w:sz w:val="22"/>
              </w:rPr>
            </w:pPr>
            <w:r>
              <w:rPr>
                <w:sz w:val="22"/>
              </w:rPr>
              <w:t>De Beers’ Group rough diamond production increased by 4% to 9.6 million carats in the third quarter of 2022 from 9.2 million carats in the same quarter in previous year. The increase came as a result of the treatment of higher-grade ores in Botswana, South Africa, and Namibia.</w:t>
            </w:r>
            <w:r>
              <w:rPr>
                <w:spacing w:val="68"/>
                <w:w w:val="150"/>
                <w:sz w:val="22"/>
              </w:rPr>
              <w:t> </w:t>
            </w:r>
            <w:r>
              <w:rPr>
                <w:sz w:val="22"/>
              </w:rPr>
              <w:t>Production</w:t>
            </w:r>
            <w:r>
              <w:rPr>
                <w:spacing w:val="66"/>
                <w:w w:val="150"/>
                <w:sz w:val="22"/>
              </w:rPr>
              <w:t> </w:t>
            </w:r>
            <w:r>
              <w:rPr>
                <w:sz w:val="22"/>
              </w:rPr>
              <w:t>in</w:t>
            </w:r>
            <w:r>
              <w:rPr>
                <w:spacing w:val="66"/>
                <w:w w:val="150"/>
                <w:sz w:val="22"/>
              </w:rPr>
              <w:t> </w:t>
            </w:r>
            <w:r>
              <w:rPr>
                <w:sz w:val="22"/>
              </w:rPr>
              <w:t>Botswana,</w:t>
            </w:r>
            <w:r>
              <w:rPr>
                <w:spacing w:val="68"/>
                <w:w w:val="150"/>
                <w:sz w:val="22"/>
              </w:rPr>
              <w:t> </w:t>
            </w:r>
            <w:r>
              <w:rPr>
                <w:sz w:val="22"/>
              </w:rPr>
              <w:t>increased</w:t>
            </w:r>
            <w:r>
              <w:rPr>
                <w:spacing w:val="69"/>
                <w:w w:val="150"/>
                <w:sz w:val="22"/>
              </w:rPr>
              <w:t> </w:t>
            </w:r>
            <w:r>
              <w:rPr>
                <w:sz w:val="22"/>
              </w:rPr>
              <w:t>by</w:t>
            </w:r>
            <w:r>
              <w:rPr>
                <w:spacing w:val="66"/>
                <w:w w:val="150"/>
                <w:sz w:val="22"/>
              </w:rPr>
              <w:t> </w:t>
            </w:r>
            <w:r>
              <w:rPr>
                <w:sz w:val="22"/>
              </w:rPr>
              <w:t>4%,</w:t>
            </w:r>
            <w:r>
              <w:rPr>
                <w:spacing w:val="68"/>
                <w:w w:val="150"/>
                <w:sz w:val="22"/>
              </w:rPr>
              <w:t> </w:t>
            </w:r>
            <w:r>
              <w:rPr>
                <w:spacing w:val="-2"/>
                <w:sz w:val="22"/>
              </w:rPr>
              <w:t>Namibia</w:t>
            </w:r>
          </w:p>
          <w:p>
            <w:pPr>
              <w:pStyle w:val="TableParagraph"/>
              <w:spacing w:line="252" w:lineRule="exact"/>
              <w:jc w:val="both"/>
              <w:rPr>
                <w:sz w:val="22"/>
              </w:rPr>
            </w:pPr>
            <w:r>
              <w:rPr>
                <w:sz w:val="22"/>
              </w:rPr>
              <w:t>production</w:t>
            </w:r>
            <w:r>
              <w:rPr>
                <w:spacing w:val="59"/>
                <w:sz w:val="22"/>
              </w:rPr>
              <w:t> </w:t>
            </w:r>
            <w:r>
              <w:rPr>
                <w:sz w:val="22"/>
              </w:rPr>
              <w:t>increased</w:t>
            </w:r>
            <w:r>
              <w:rPr>
                <w:spacing w:val="59"/>
                <w:sz w:val="22"/>
              </w:rPr>
              <w:t> </w:t>
            </w:r>
            <w:r>
              <w:rPr>
                <w:sz w:val="22"/>
              </w:rPr>
              <w:t>by</w:t>
            </w:r>
            <w:r>
              <w:rPr>
                <w:spacing w:val="60"/>
                <w:sz w:val="22"/>
              </w:rPr>
              <w:t> </w:t>
            </w:r>
            <w:r>
              <w:rPr>
                <w:sz w:val="22"/>
              </w:rPr>
              <w:t>33%,</w:t>
            </w:r>
            <w:r>
              <w:rPr>
                <w:spacing w:val="62"/>
                <w:sz w:val="22"/>
              </w:rPr>
              <w:t> </w:t>
            </w:r>
            <w:r>
              <w:rPr>
                <w:sz w:val="22"/>
              </w:rPr>
              <w:t>while</w:t>
            </w:r>
            <w:r>
              <w:rPr>
                <w:spacing w:val="59"/>
                <w:sz w:val="22"/>
              </w:rPr>
              <w:t> </w:t>
            </w:r>
            <w:r>
              <w:rPr>
                <w:sz w:val="22"/>
              </w:rPr>
              <w:t>in</w:t>
            </w:r>
            <w:r>
              <w:rPr>
                <w:spacing w:val="62"/>
                <w:sz w:val="22"/>
              </w:rPr>
              <w:t> </w:t>
            </w:r>
            <w:r>
              <w:rPr>
                <w:sz w:val="22"/>
              </w:rPr>
              <w:t>South</w:t>
            </w:r>
            <w:r>
              <w:rPr>
                <w:spacing w:val="59"/>
                <w:sz w:val="22"/>
              </w:rPr>
              <w:t> </w:t>
            </w:r>
            <w:r>
              <w:rPr>
                <w:sz w:val="22"/>
              </w:rPr>
              <w:t>Africa</w:t>
            </w:r>
            <w:r>
              <w:rPr>
                <w:spacing w:val="60"/>
                <w:sz w:val="22"/>
              </w:rPr>
              <w:t> </w:t>
            </w:r>
            <w:r>
              <w:rPr>
                <w:spacing w:val="-2"/>
                <w:sz w:val="22"/>
              </w:rPr>
              <w:t>production</w:t>
            </w:r>
          </w:p>
        </w:tc>
        <w:tc>
          <w:tcPr>
            <w:tcW w:w="3168" w:type="dxa"/>
          </w:tcPr>
          <w:p>
            <w:pPr>
              <w:pStyle w:val="TableParagraph"/>
              <w:spacing w:line="247" w:lineRule="exact"/>
              <w:ind w:left="105"/>
              <w:rPr>
                <w:i/>
                <w:sz w:val="22"/>
              </w:rPr>
            </w:pPr>
            <w:r>
              <w:rPr>
                <w:i/>
                <w:sz w:val="22"/>
              </w:rPr>
              <w:t>Possible</w:t>
            </w:r>
            <w:r>
              <w:rPr>
                <w:i/>
                <w:spacing w:val="-4"/>
                <w:sz w:val="22"/>
              </w:rPr>
              <w:t> </w:t>
            </w:r>
            <w:r>
              <w:rPr>
                <w:i/>
                <w:sz w:val="22"/>
              </w:rPr>
              <w:t>Economic</w:t>
            </w:r>
            <w:r>
              <w:rPr>
                <w:i/>
                <w:spacing w:val="-4"/>
                <w:sz w:val="22"/>
              </w:rPr>
              <w:t> </w:t>
            </w:r>
            <w:r>
              <w:rPr>
                <w:i/>
                <w:spacing w:val="-2"/>
                <w:sz w:val="22"/>
              </w:rPr>
              <w:t>Implications:</w:t>
            </w:r>
          </w:p>
          <w:p>
            <w:pPr>
              <w:pStyle w:val="TableParagraph"/>
              <w:tabs>
                <w:tab w:pos="1321" w:val="left" w:leader="none"/>
                <w:tab w:pos="2362" w:val="left" w:leader="none"/>
              </w:tabs>
              <w:spacing w:line="256" w:lineRule="auto" w:before="176"/>
              <w:ind w:left="105" w:right="98"/>
              <w:rPr>
                <w:sz w:val="22"/>
              </w:rPr>
            </w:pPr>
            <w:r>
              <w:rPr>
                <w:spacing w:val="-2"/>
                <w:sz w:val="22"/>
              </w:rPr>
              <w:t>Increased</w:t>
            </w:r>
            <w:r>
              <w:rPr>
                <w:sz w:val="22"/>
              </w:rPr>
              <w:tab/>
            </w:r>
            <w:r>
              <w:rPr>
                <w:spacing w:val="-2"/>
                <w:sz w:val="22"/>
              </w:rPr>
              <w:t>mineral</w:t>
            </w:r>
            <w:r>
              <w:rPr>
                <w:sz w:val="22"/>
              </w:rPr>
              <w:tab/>
            </w:r>
            <w:r>
              <w:rPr>
                <w:spacing w:val="-2"/>
                <w:sz w:val="22"/>
              </w:rPr>
              <w:t>revenue collections.</w:t>
            </w:r>
          </w:p>
        </w:tc>
      </w:tr>
    </w:tbl>
    <w:p>
      <w:pPr>
        <w:rPr>
          <w:sz w:val="2"/>
          <w:szCs w:val="2"/>
        </w:rPr>
      </w:pPr>
      <w:r>
        <w:rPr/>
        <w:pict>
          <v:shape style="position:absolute;margin-left:24.000002pt;margin-top:23.999945pt;width:547.450pt;height:794.05pt;mso-position-horizontal-relative:page;mso-position-vertical-relative:page;z-index:-16203776" id="docshape7"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w:r>
    </w:p>
    <w:p>
      <w:pPr>
        <w:spacing w:after="0"/>
        <w:rPr>
          <w:sz w:val="2"/>
          <w:szCs w:val="2"/>
        </w:rPr>
        <w:sectPr>
          <w:pgSz w:w="11910" w:h="16840"/>
          <w:pgMar w:header="0" w:footer="1003" w:top="1400" w:bottom="1200" w:left="780" w:right="680"/>
        </w:sectPr>
      </w:pPr>
    </w:p>
    <w:tbl>
      <w:tblPr>
        <w:tblW w:w="0" w:type="auto"/>
        <w:jc w:val="left"/>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20"/>
        <w:gridCol w:w="3168"/>
      </w:tblGrid>
      <w:tr>
        <w:trPr>
          <w:trHeight w:val="4803" w:hRule="atLeast"/>
        </w:trPr>
        <w:tc>
          <w:tcPr>
            <w:tcW w:w="6320" w:type="dxa"/>
          </w:tcPr>
          <w:p>
            <w:pPr>
              <w:pStyle w:val="TableParagraph"/>
              <w:spacing w:line="247" w:lineRule="exact"/>
              <w:jc w:val="both"/>
              <w:rPr>
                <w:sz w:val="22"/>
              </w:rPr>
            </w:pPr>
            <w:r>
              <w:rPr>
                <w:sz w:val="22"/>
              </w:rPr>
              <w:t>increased</w:t>
            </w:r>
            <w:r>
              <w:rPr>
                <w:spacing w:val="-5"/>
                <w:sz w:val="22"/>
              </w:rPr>
              <w:t> </w:t>
            </w:r>
            <w:r>
              <w:rPr>
                <w:sz w:val="22"/>
              </w:rPr>
              <w:t>by</w:t>
            </w:r>
            <w:r>
              <w:rPr>
                <w:spacing w:val="-4"/>
                <w:sz w:val="22"/>
              </w:rPr>
              <w:t> </w:t>
            </w:r>
            <w:r>
              <w:rPr>
                <w:sz w:val="22"/>
              </w:rPr>
              <w:t>5%.</w:t>
            </w:r>
            <w:r>
              <w:rPr>
                <w:spacing w:val="50"/>
                <w:sz w:val="22"/>
              </w:rPr>
              <w:t> </w:t>
            </w:r>
            <w:r>
              <w:rPr>
                <w:sz w:val="22"/>
              </w:rPr>
              <w:t>Production</w:t>
            </w:r>
            <w:r>
              <w:rPr>
                <w:spacing w:val="-2"/>
                <w:sz w:val="22"/>
              </w:rPr>
              <w:t> </w:t>
            </w:r>
            <w:r>
              <w:rPr>
                <w:sz w:val="22"/>
              </w:rPr>
              <w:t>in</w:t>
            </w:r>
            <w:r>
              <w:rPr>
                <w:spacing w:val="-3"/>
                <w:sz w:val="22"/>
              </w:rPr>
              <w:t> </w:t>
            </w:r>
            <w:r>
              <w:rPr>
                <w:sz w:val="22"/>
              </w:rPr>
              <w:t>Canada</w:t>
            </w:r>
            <w:r>
              <w:rPr>
                <w:spacing w:val="-4"/>
                <w:sz w:val="22"/>
              </w:rPr>
              <w:t> </w:t>
            </w:r>
            <w:r>
              <w:rPr>
                <w:sz w:val="22"/>
              </w:rPr>
              <w:t>decreased</w:t>
            </w:r>
            <w:r>
              <w:rPr>
                <w:spacing w:val="-2"/>
                <w:sz w:val="22"/>
              </w:rPr>
              <w:t> </w:t>
            </w:r>
            <w:r>
              <w:rPr>
                <w:sz w:val="22"/>
              </w:rPr>
              <w:t>by</w:t>
            </w:r>
            <w:r>
              <w:rPr>
                <w:spacing w:val="-7"/>
                <w:sz w:val="22"/>
              </w:rPr>
              <w:t> </w:t>
            </w:r>
            <w:r>
              <w:rPr>
                <w:spacing w:val="-5"/>
                <w:sz w:val="22"/>
              </w:rPr>
              <w:t>7%.</w:t>
            </w:r>
          </w:p>
          <w:p>
            <w:pPr>
              <w:pStyle w:val="TableParagraph"/>
              <w:spacing w:line="256" w:lineRule="auto" w:before="182"/>
              <w:ind w:right="97"/>
              <w:jc w:val="both"/>
              <w:rPr>
                <w:sz w:val="22"/>
              </w:rPr>
            </w:pPr>
            <w:r>
              <w:rPr>
                <w:sz w:val="22"/>
              </w:rPr>
              <w:t>De Beers’ provisional results indicates that rough-diamond sales increased</w:t>
            </w:r>
            <w:r>
              <w:rPr>
                <w:spacing w:val="23"/>
                <w:sz w:val="22"/>
              </w:rPr>
              <w:t> </w:t>
            </w:r>
            <w:r>
              <w:rPr>
                <w:sz w:val="22"/>
              </w:rPr>
              <w:t>to</w:t>
            </w:r>
            <w:r>
              <w:rPr>
                <w:spacing w:val="23"/>
                <w:sz w:val="22"/>
              </w:rPr>
              <w:t> </w:t>
            </w:r>
            <w:r>
              <w:rPr>
                <w:sz w:val="22"/>
              </w:rPr>
              <w:t>$500</w:t>
            </w:r>
            <w:r>
              <w:rPr>
                <w:spacing w:val="24"/>
                <w:sz w:val="22"/>
              </w:rPr>
              <w:t> </w:t>
            </w:r>
            <w:r>
              <w:rPr>
                <w:sz w:val="22"/>
              </w:rPr>
              <w:t>million</w:t>
            </w:r>
            <w:r>
              <w:rPr>
                <w:spacing w:val="22"/>
                <w:sz w:val="22"/>
              </w:rPr>
              <w:t> </w:t>
            </w:r>
            <w:r>
              <w:rPr>
                <w:sz w:val="22"/>
              </w:rPr>
              <w:t>during</w:t>
            </w:r>
            <w:r>
              <w:rPr>
                <w:spacing w:val="21"/>
                <w:sz w:val="22"/>
              </w:rPr>
              <w:t> </w:t>
            </w:r>
            <w:r>
              <w:rPr>
                <w:sz w:val="22"/>
              </w:rPr>
              <w:t>the</w:t>
            </w:r>
            <w:r>
              <w:rPr>
                <w:spacing w:val="24"/>
                <w:sz w:val="22"/>
              </w:rPr>
              <w:t> </w:t>
            </w:r>
            <w:r>
              <w:rPr>
                <w:sz w:val="22"/>
              </w:rPr>
              <w:t>eighth</w:t>
            </w:r>
            <w:r>
              <w:rPr>
                <w:spacing w:val="23"/>
                <w:sz w:val="22"/>
              </w:rPr>
              <w:t> </w:t>
            </w:r>
            <w:r>
              <w:rPr>
                <w:sz w:val="22"/>
              </w:rPr>
              <w:t>sight</w:t>
            </w:r>
            <w:r>
              <w:rPr>
                <w:spacing w:val="25"/>
                <w:sz w:val="22"/>
              </w:rPr>
              <w:t> </w:t>
            </w:r>
            <w:r>
              <w:rPr>
                <w:sz w:val="22"/>
              </w:rPr>
              <w:t>sale</w:t>
            </w:r>
            <w:r>
              <w:rPr>
                <w:spacing w:val="23"/>
                <w:sz w:val="22"/>
              </w:rPr>
              <w:t> </w:t>
            </w:r>
            <w:r>
              <w:rPr>
                <w:sz w:val="22"/>
              </w:rPr>
              <w:t>compared</w:t>
            </w:r>
            <w:r>
              <w:rPr>
                <w:spacing w:val="24"/>
                <w:sz w:val="22"/>
              </w:rPr>
              <w:t> </w:t>
            </w:r>
            <w:r>
              <w:rPr>
                <w:spacing w:val="-5"/>
                <w:sz w:val="22"/>
              </w:rPr>
              <w:t>to</w:t>
            </w:r>
          </w:p>
          <w:p>
            <w:pPr>
              <w:pStyle w:val="TableParagraph"/>
              <w:spacing w:line="259" w:lineRule="auto" w:before="3"/>
              <w:ind w:right="96"/>
              <w:jc w:val="both"/>
              <w:rPr>
                <w:sz w:val="22"/>
              </w:rPr>
            </w:pPr>
            <w:r>
              <w:rPr>
                <w:sz w:val="22"/>
              </w:rPr>
              <w:t>$492 million realised in the same sight sale in 2021. However, within-year comparisons shows that sales in cycle 8 were lower by 22%</w:t>
            </w:r>
            <w:r>
              <w:rPr>
                <w:spacing w:val="-2"/>
                <w:sz w:val="22"/>
              </w:rPr>
              <w:t> </w:t>
            </w:r>
            <w:r>
              <w:rPr>
                <w:sz w:val="22"/>
              </w:rPr>
              <w:t>when</w:t>
            </w:r>
            <w:r>
              <w:rPr>
                <w:spacing w:val="-2"/>
                <w:sz w:val="22"/>
              </w:rPr>
              <w:t> </w:t>
            </w:r>
            <w:r>
              <w:rPr>
                <w:sz w:val="22"/>
              </w:rPr>
              <w:t>compared</w:t>
            </w:r>
            <w:r>
              <w:rPr>
                <w:spacing w:val="-4"/>
                <w:sz w:val="22"/>
              </w:rPr>
              <w:t> </w:t>
            </w:r>
            <w:r>
              <w:rPr>
                <w:sz w:val="22"/>
              </w:rPr>
              <w:t>to</w:t>
            </w:r>
            <w:r>
              <w:rPr>
                <w:spacing w:val="-2"/>
                <w:sz w:val="22"/>
              </w:rPr>
              <w:t> </w:t>
            </w:r>
            <w:r>
              <w:rPr>
                <w:sz w:val="22"/>
              </w:rPr>
              <w:t>$638</w:t>
            </w:r>
            <w:r>
              <w:rPr>
                <w:spacing w:val="-2"/>
                <w:sz w:val="22"/>
              </w:rPr>
              <w:t> </w:t>
            </w:r>
            <w:r>
              <w:rPr>
                <w:sz w:val="22"/>
              </w:rPr>
              <w:t>million</w:t>
            </w:r>
            <w:r>
              <w:rPr>
                <w:spacing w:val="-2"/>
                <w:sz w:val="22"/>
              </w:rPr>
              <w:t> </w:t>
            </w:r>
            <w:r>
              <w:rPr>
                <w:sz w:val="22"/>
              </w:rPr>
              <w:t>of</w:t>
            </w:r>
            <w:r>
              <w:rPr>
                <w:spacing w:val="-2"/>
                <w:sz w:val="22"/>
              </w:rPr>
              <w:t> </w:t>
            </w:r>
            <w:r>
              <w:rPr>
                <w:sz w:val="22"/>
              </w:rPr>
              <w:t>sales</w:t>
            </w:r>
            <w:r>
              <w:rPr>
                <w:spacing w:val="-2"/>
                <w:sz w:val="22"/>
              </w:rPr>
              <w:t> </w:t>
            </w:r>
            <w:r>
              <w:rPr>
                <w:sz w:val="22"/>
              </w:rPr>
              <w:t>realised</w:t>
            </w:r>
            <w:r>
              <w:rPr>
                <w:spacing w:val="-2"/>
                <w:sz w:val="22"/>
              </w:rPr>
              <w:t> </w:t>
            </w:r>
            <w:r>
              <w:rPr>
                <w:sz w:val="22"/>
              </w:rPr>
              <w:t>in</w:t>
            </w:r>
            <w:r>
              <w:rPr>
                <w:spacing w:val="-2"/>
                <w:sz w:val="22"/>
              </w:rPr>
              <w:t> </w:t>
            </w:r>
            <w:r>
              <w:rPr>
                <w:sz w:val="22"/>
              </w:rPr>
              <w:t>cycle</w:t>
            </w:r>
            <w:r>
              <w:rPr>
                <w:spacing w:val="-2"/>
                <w:sz w:val="22"/>
              </w:rPr>
              <w:t> </w:t>
            </w:r>
            <w:r>
              <w:rPr>
                <w:sz w:val="22"/>
              </w:rPr>
              <w:t>7.</w:t>
            </w:r>
            <w:r>
              <w:rPr>
                <w:spacing w:val="-4"/>
                <w:sz w:val="22"/>
              </w:rPr>
              <w:t> </w:t>
            </w:r>
            <w:r>
              <w:rPr>
                <w:sz w:val="22"/>
              </w:rPr>
              <w:t>The decline was due to the closure of polishing factories in India ahead</w:t>
            </w:r>
            <w:r>
              <w:rPr>
                <w:spacing w:val="40"/>
                <w:sz w:val="22"/>
              </w:rPr>
              <w:t> </w:t>
            </w:r>
            <w:r>
              <w:rPr>
                <w:sz w:val="22"/>
              </w:rPr>
              <w:t>of the Diwali holidays.</w:t>
            </w:r>
          </w:p>
          <w:p>
            <w:pPr>
              <w:pStyle w:val="TableParagraph"/>
              <w:spacing w:line="240" w:lineRule="auto" w:before="8"/>
              <w:ind w:left="0"/>
              <w:rPr>
                <w:sz w:val="23"/>
              </w:rPr>
            </w:pPr>
          </w:p>
          <w:p>
            <w:pPr>
              <w:pStyle w:val="TableParagraph"/>
              <w:spacing w:line="259" w:lineRule="auto" w:before="1"/>
              <w:ind w:right="94"/>
              <w:jc w:val="both"/>
              <w:rPr>
                <w:sz w:val="22"/>
              </w:rPr>
            </w:pPr>
            <w:r>
              <w:rPr>
                <w:sz w:val="22"/>
              </w:rPr>
              <w:t>Demand for rough diamonds remained steady, with rough diamond sales totalling 9.1 million carats in Q3 of 2022 compared with 7.8 million carats in Q3 2021 and 9.4 million carats from Q2 2022. While consumer demand for natural diamonds continues to be</w:t>
            </w:r>
            <w:r>
              <w:rPr>
                <w:spacing w:val="40"/>
                <w:sz w:val="22"/>
              </w:rPr>
              <w:t> </w:t>
            </w:r>
            <w:r>
              <w:rPr>
                <w:sz w:val="22"/>
              </w:rPr>
              <w:t>robust, a deterioration of global economic conditions, reduced consumer spending and continued Chinese COVID-19 lockdowns have the potential to impact demand for diamond jewellery.</w:t>
            </w:r>
          </w:p>
        </w:tc>
        <w:tc>
          <w:tcPr>
            <w:tcW w:w="3168" w:type="dxa"/>
          </w:tcPr>
          <w:p>
            <w:pPr>
              <w:pStyle w:val="TableParagraph"/>
              <w:spacing w:line="240" w:lineRule="auto"/>
              <w:ind w:left="0"/>
              <w:rPr>
                <w:sz w:val="22"/>
              </w:rPr>
            </w:pPr>
          </w:p>
        </w:tc>
      </w:tr>
      <w:tr>
        <w:trPr>
          <w:trHeight w:val="6552" w:hRule="atLeast"/>
        </w:trPr>
        <w:tc>
          <w:tcPr>
            <w:tcW w:w="6320" w:type="dxa"/>
          </w:tcPr>
          <w:p>
            <w:pPr>
              <w:pStyle w:val="TableParagraph"/>
              <w:tabs>
                <w:tab w:pos="827" w:val="left" w:leader="none"/>
              </w:tabs>
              <w:spacing w:line="251" w:lineRule="exact"/>
              <w:ind w:left="467"/>
              <w:rPr>
                <w:b/>
                <w:sz w:val="22"/>
              </w:rPr>
            </w:pPr>
            <w:r>
              <w:rPr>
                <w:b/>
                <w:spacing w:val="-5"/>
                <w:sz w:val="22"/>
              </w:rPr>
              <w:t>e.</w:t>
            </w:r>
            <w:r>
              <w:rPr>
                <w:b/>
                <w:sz w:val="22"/>
              </w:rPr>
              <w:tab/>
              <w:t>Trade</w:t>
            </w:r>
            <w:r>
              <w:rPr>
                <w:b/>
                <w:spacing w:val="-5"/>
                <w:sz w:val="22"/>
              </w:rPr>
              <w:t> </w:t>
            </w:r>
            <w:r>
              <w:rPr>
                <w:b/>
                <w:sz w:val="22"/>
              </w:rPr>
              <w:t>Balance</w:t>
            </w:r>
            <w:r>
              <w:rPr>
                <w:b/>
                <w:spacing w:val="-3"/>
                <w:sz w:val="22"/>
              </w:rPr>
              <w:t> </w:t>
            </w:r>
            <w:r>
              <w:rPr>
                <w:b/>
                <w:sz w:val="22"/>
              </w:rPr>
              <w:t>records</w:t>
            </w:r>
            <w:r>
              <w:rPr>
                <w:b/>
                <w:spacing w:val="-3"/>
                <w:sz w:val="22"/>
              </w:rPr>
              <w:t> </w:t>
            </w:r>
            <w:r>
              <w:rPr>
                <w:b/>
                <w:sz w:val="22"/>
              </w:rPr>
              <w:t>surplus</w:t>
            </w:r>
            <w:r>
              <w:rPr>
                <w:b/>
                <w:spacing w:val="-3"/>
                <w:sz w:val="22"/>
              </w:rPr>
              <w:t> </w:t>
            </w:r>
            <w:r>
              <w:rPr>
                <w:b/>
                <w:spacing w:val="-10"/>
                <w:sz w:val="22"/>
                <w:vertAlign w:val="superscript"/>
              </w:rPr>
              <w:t>2</w:t>
            </w:r>
          </w:p>
          <w:p>
            <w:pPr>
              <w:pStyle w:val="TableParagraph"/>
              <w:spacing w:line="240" w:lineRule="auto" w:before="11"/>
              <w:ind w:left="0"/>
              <w:rPr>
                <w:sz w:val="24"/>
              </w:rPr>
            </w:pPr>
          </w:p>
          <w:p>
            <w:pPr>
              <w:pStyle w:val="TableParagraph"/>
              <w:spacing w:line="259" w:lineRule="auto"/>
              <w:ind w:right="94"/>
              <w:jc w:val="both"/>
              <w:rPr>
                <w:sz w:val="22"/>
              </w:rPr>
            </w:pPr>
            <w:r>
              <w:rPr>
                <w:sz w:val="22"/>
              </w:rPr>
              <w:t>Botswana recorded a trade surplus of P3, 832.1 million in August 2022 from a deficit of P1, 536.1 million realised in the same month of the previous year. This is the fourth consecutive monthly surplus and the highest since the beginning 2022. This significant growth was mainly due to continued recovery in the performance of</w:t>
            </w:r>
            <w:r>
              <w:rPr>
                <w:spacing w:val="40"/>
                <w:sz w:val="22"/>
              </w:rPr>
              <w:t> </w:t>
            </w:r>
            <w:r>
              <w:rPr>
                <w:sz w:val="22"/>
              </w:rPr>
              <w:t>diamond</w:t>
            </w:r>
            <w:r>
              <w:rPr>
                <w:spacing w:val="-1"/>
                <w:sz w:val="22"/>
              </w:rPr>
              <w:t> </w:t>
            </w:r>
            <w:r>
              <w:rPr>
                <w:sz w:val="22"/>
              </w:rPr>
              <w:t>exports</w:t>
            </w:r>
            <w:r>
              <w:rPr>
                <w:spacing w:val="-3"/>
                <w:sz w:val="22"/>
              </w:rPr>
              <w:t> </w:t>
            </w:r>
            <w:r>
              <w:rPr>
                <w:sz w:val="22"/>
              </w:rPr>
              <w:t>from</w:t>
            </w:r>
            <w:r>
              <w:rPr>
                <w:spacing w:val="-5"/>
                <w:sz w:val="22"/>
              </w:rPr>
              <w:t> </w:t>
            </w:r>
            <w:r>
              <w:rPr>
                <w:sz w:val="22"/>
              </w:rPr>
              <w:t>the</w:t>
            </w:r>
            <w:r>
              <w:rPr>
                <w:spacing w:val="-1"/>
                <w:sz w:val="22"/>
              </w:rPr>
              <w:t> </w:t>
            </w:r>
            <w:r>
              <w:rPr>
                <w:sz w:val="22"/>
              </w:rPr>
              <w:t>effects</w:t>
            </w:r>
            <w:r>
              <w:rPr>
                <w:spacing w:val="-3"/>
                <w:sz w:val="22"/>
              </w:rPr>
              <w:t> </w:t>
            </w:r>
            <w:r>
              <w:rPr>
                <w:sz w:val="22"/>
              </w:rPr>
              <w:t>of COVID-19</w:t>
            </w:r>
            <w:r>
              <w:rPr>
                <w:spacing w:val="-1"/>
                <w:sz w:val="22"/>
              </w:rPr>
              <w:t> </w:t>
            </w:r>
            <w:r>
              <w:rPr>
                <w:sz w:val="22"/>
              </w:rPr>
              <w:t>pandemic,</w:t>
            </w:r>
            <w:r>
              <w:rPr>
                <w:spacing w:val="-1"/>
                <w:sz w:val="22"/>
              </w:rPr>
              <w:t> </w:t>
            </w:r>
            <w:r>
              <w:rPr>
                <w:sz w:val="22"/>
              </w:rPr>
              <w:t>as well as exchange</w:t>
            </w:r>
            <w:r>
              <w:rPr>
                <w:spacing w:val="52"/>
                <w:sz w:val="22"/>
              </w:rPr>
              <w:t> </w:t>
            </w:r>
            <w:r>
              <w:rPr>
                <w:sz w:val="22"/>
              </w:rPr>
              <w:t>rate</w:t>
            </w:r>
            <w:r>
              <w:rPr>
                <w:spacing w:val="50"/>
                <w:sz w:val="22"/>
              </w:rPr>
              <w:t> </w:t>
            </w:r>
            <w:r>
              <w:rPr>
                <w:sz w:val="22"/>
              </w:rPr>
              <w:t>changes.</w:t>
            </w:r>
            <w:r>
              <w:rPr>
                <w:spacing w:val="52"/>
                <w:sz w:val="22"/>
              </w:rPr>
              <w:t> </w:t>
            </w:r>
            <w:r>
              <w:rPr>
                <w:sz w:val="22"/>
              </w:rPr>
              <w:t>Total</w:t>
            </w:r>
            <w:r>
              <w:rPr>
                <w:spacing w:val="53"/>
                <w:sz w:val="22"/>
              </w:rPr>
              <w:t> </w:t>
            </w:r>
            <w:r>
              <w:rPr>
                <w:sz w:val="22"/>
              </w:rPr>
              <w:t>exports</w:t>
            </w:r>
            <w:r>
              <w:rPr>
                <w:spacing w:val="52"/>
                <w:sz w:val="22"/>
              </w:rPr>
              <w:t> </w:t>
            </w:r>
            <w:r>
              <w:rPr>
                <w:sz w:val="22"/>
              </w:rPr>
              <w:t>in</w:t>
            </w:r>
            <w:r>
              <w:rPr>
                <w:spacing w:val="53"/>
                <w:sz w:val="22"/>
              </w:rPr>
              <w:t> </w:t>
            </w:r>
            <w:r>
              <w:rPr>
                <w:sz w:val="22"/>
              </w:rPr>
              <w:t>August</w:t>
            </w:r>
            <w:r>
              <w:rPr>
                <w:spacing w:val="53"/>
                <w:sz w:val="22"/>
              </w:rPr>
              <w:t> </w:t>
            </w:r>
            <w:r>
              <w:rPr>
                <w:sz w:val="22"/>
              </w:rPr>
              <w:t>2022</w:t>
            </w:r>
            <w:r>
              <w:rPr>
                <w:spacing w:val="52"/>
                <w:sz w:val="22"/>
              </w:rPr>
              <w:t> </w:t>
            </w:r>
            <w:r>
              <w:rPr>
                <w:sz w:val="22"/>
              </w:rPr>
              <w:t>were</w:t>
            </w:r>
            <w:r>
              <w:rPr>
                <w:spacing w:val="53"/>
                <w:sz w:val="22"/>
              </w:rPr>
              <w:t> </w:t>
            </w:r>
            <w:r>
              <w:rPr>
                <w:spacing w:val="-4"/>
                <w:sz w:val="22"/>
              </w:rPr>
              <w:t>P10,</w:t>
            </w:r>
          </w:p>
          <w:p>
            <w:pPr>
              <w:pStyle w:val="TableParagraph"/>
              <w:spacing w:line="259" w:lineRule="auto"/>
              <w:ind w:right="94"/>
              <w:jc w:val="both"/>
              <w:rPr>
                <w:sz w:val="22"/>
              </w:rPr>
            </w:pPr>
            <w:r>
              <w:rPr>
                <w:sz w:val="22"/>
              </w:rPr>
              <w:t>758.4 million against imports of P6, 926.3 million, reflecting largely the rise in diamond exports. During the reference month, Diamonds, Copper and Machinery &amp; Electrical Equipment contributed 88.8 percent, 4.1% and 1.9% to total exports in that in that order. Fuel is the main contributor to imports, accounting for 25% of the total in August, followed by Food, Beverages and Tobacco with a contribution of 14.9%.</w:t>
            </w:r>
          </w:p>
          <w:p>
            <w:pPr>
              <w:pStyle w:val="TableParagraph"/>
              <w:spacing w:line="240" w:lineRule="auto" w:before="7"/>
              <w:ind w:left="0"/>
              <w:rPr>
                <w:sz w:val="23"/>
              </w:rPr>
            </w:pPr>
          </w:p>
          <w:p>
            <w:pPr>
              <w:pStyle w:val="TableParagraph"/>
              <w:spacing w:line="259" w:lineRule="auto"/>
              <w:ind w:right="95"/>
              <w:jc w:val="both"/>
              <w:rPr>
                <w:sz w:val="22"/>
              </w:rPr>
            </w:pPr>
            <w:r>
              <w:rPr>
                <w:sz w:val="22"/>
              </w:rPr>
              <w:t>The trade surplus for the January to August 2022 is at P8.1 billion compared to a deficit of P4.9 billion recorded in 2021 as a result of increase in exports and imports, however, with moderate import growth given the much higher prices for imports of food and fuel, amongst other commodities. The foreign exchange reserves have risen</w:t>
            </w:r>
            <w:r>
              <w:rPr>
                <w:spacing w:val="66"/>
                <w:sz w:val="22"/>
              </w:rPr>
              <w:t> </w:t>
            </w:r>
            <w:r>
              <w:rPr>
                <w:sz w:val="22"/>
              </w:rPr>
              <w:t>to</w:t>
            </w:r>
            <w:r>
              <w:rPr>
                <w:spacing w:val="67"/>
                <w:sz w:val="22"/>
              </w:rPr>
              <w:t> </w:t>
            </w:r>
            <w:r>
              <w:rPr>
                <w:sz w:val="22"/>
              </w:rPr>
              <w:t>P59.3</w:t>
            </w:r>
            <w:r>
              <w:rPr>
                <w:spacing w:val="64"/>
                <w:sz w:val="22"/>
              </w:rPr>
              <w:t> </w:t>
            </w:r>
            <w:r>
              <w:rPr>
                <w:sz w:val="22"/>
              </w:rPr>
              <w:t>billion</w:t>
            </w:r>
            <w:r>
              <w:rPr>
                <w:spacing w:val="66"/>
                <w:sz w:val="22"/>
              </w:rPr>
              <w:t> </w:t>
            </w:r>
            <w:r>
              <w:rPr>
                <w:sz w:val="22"/>
              </w:rPr>
              <w:t>in</w:t>
            </w:r>
            <w:r>
              <w:rPr>
                <w:spacing w:val="65"/>
                <w:sz w:val="22"/>
              </w:rPr>
              <w:t> </w:t>
            </w:r>
            <w:r>
              <w:rPr>
                <w:sz w:val="22"/>
              </w:rPr>
              <w:t>August</w:t>
            </w:r>
            <w:r>
              <w:rPr>
                <w:spacing w:val="68"/>
                <w:sz w:val="22"/>
              </w:rPr>
              <w:t> </w:t>
            </w:r>
            <w:r>
              <w:rPr>
                <w:sz w:val="22"/>
              </w:rPr>
              <w:t>2022,</w:t>
            </w:r>
            <w:r>
              <w:rPr>
                <w:spacing w:val="66"/>
                <w:sz w:val="22"/>
              </w:rPr>
              <w:t> </w:t>
            </w:r>
            <w:r>
              <w:rPr>
                <w:sz w:val="22"/>
              </w:rPr>
              <w:t>sufficient</w:t>
            </w:r>
            <w:r>
              <w:rPr>
                <w:spacing w:val="66"/>
                <w:sz w:val="22"/>
              </w:rPr>
              <w:t> </w:t>
            </w:r>
            <w:r>
              <w:rPr>
                <w:sz w:val="22"/>
              </w:rPr>
              <w:t>to</w:t>
            </w:r>
            <w:r>
              <w:rPr>
                <w:spacing w:val="67"/>
                <w:sz w:val="22"/>
              </w:rPr>
              <w:t> </w:t>
            </w:r>
            <w:r>
              <w:rPr>
                <w:sz w:val="22"/>
              </w:rPr>
              <w:t>cover</w:t>
            </w:r>
            <w:r>
              <w:rPr>
                <w:spacing w:val="67"/>
                <w:sz w:val="22"/>
              </w:rPr>
              <w:t> </w:t>
            </w:r>
            <w:r>
              <w:rPr>
                <w:spacing w:val="-4"/>
                <w:sz w:val="22"/>
              </w:rPr>
              <w:t>10.2</w:t>
            </w:r>
          </w:p>
          <w:p>
            <w:pPr>
              <w:pStyle w:val="TableParagraph"/>
              <w:spacing w:line="251" w:lineRule="exact"/>
              <w:jc w:val="both"/>
              <w:rPr>
                <w:sz w:val="22"/>
              </w:rPr>
            </w:pPr>
            <w:r>
              <w:rPr>
                <w:sz w:val="22"/>
              </w:rPr>
              <w:t>months</w:t>
            </w:r>
            <w:r>
              <w:rPr>
                <w:spacing w:val="-3"/>
                <w:sz w:val="22"/>
              </w:rPr>
              <w:t> </w:t>
            </w:r>
            <w:r>
              <w:rPr>
                <w:sz w:val="22"/>
              </w:rPr>
              <w:t>of</w:t>
            </w:r>
            <w:r>
              <w:rPr>
                <w:spacing w:val="-3"/>
                <w:sz w:val="22"/>
              </w:rPr>
              <w:t> </w:t>
            </w:r>
            <w:r>
              <w:rPr>
                <w:sz w:val="22"/>
              </w:rPr>
              <w:t>imports</w:t>
            </w:r>
            <w:r>
              <w:rPr>
                <w:spacing w:val="-3"/>
                <w:sz w:val="22"/>
              </w:rPr>
              <w:t> </w:t>
            </w:r>
            <w:r>
              <w:rPr>
                <w:sz w:val="22"/>
              </w:rPr>
              <w:t>of</w:t>
            </w:r>
            <w:r>
              <w:rPr>
                <w:spacing w:val="-3"/>
                <w:sz w:val="22"/>
              </w:rPr>
              <w:t> </w:t>
            </w:r>
            <w:r>
              <w:rPr>
                <w:sz w:val="22"/>
              </w:rPr>
              <w:t>non-diamond</w:t>
            </w:r>
            <w:r>
              <w:rPr>
                <w:spacing w:val="-3"/>
                <w:sz w:val="22"/>
              </w:rPr>
              <w:t> </w:t>
            </w:r>
            <w:r>
              <w:rPr>
                <w:sz w:val="22"/>
              </w:rPr>
              <w:t>goods</w:t>
            </w:r>
            <w:r>
              <w:rPr>
                <w:spacing w:val="-3"/>
                <w:sz w:val="22"/>
              </w:rPr>
              <w:t> </w:t>
            </w:r>
            <w:r>
              <w:rPr>
                <w:sz w:val="22"/>
              </w:rPr>
              <w:t>and</w:t>
            </w:r>
            <w:r>
              <w:rPr>
                <w:spacing w:val="-3"/>
                <w:sz w:val="22"/>
              </w:rPr>
              <w:t> </w:t>
            </w:r>
            <w:r>
              <w:rPr>
                <w:spacing w:val="-2"/>
                <w:sz w:val="22"/>
              </w:rPr>
              <w:t>services.</w:t>
            </w:r>
          </w:p>
        </w:tc>
        <w:tc>
          <w:tcPr>
            <w:tcW w:w="3168" w:type="dxa"/>
          </w:tcPr>
          <w:p>
            <w:pPr>
              <w:pStyle w:val="TableParagraph"/>
              <w:spacing w:line="240" w:lineRule="auto"/>
              <w:ind w:left="0"/>
              <w:rPr>
                <w:sz w:val="24"/>
              </w:rPr>
            </w:pPr>
          </w:p>
          <w:p>
            <w:pPr>
              <w:pStyle w:val="TableParagraph"/>
              <w:spacing w:line="240" w:lineRule="auto" w:before="147"/>
              <w:ind w:left="105"/>
              <w:rPr>
                <w:i/>
                <w:sz w:val="22"/>
              </w:rPr>
            </w:pPr>
            <w:r>
              <w:rPr>
                <w:i/>
                <w:sz w:val="22"/>
              </w:rPr>
              <w:t>Possible</w:t>
            </w:r>
            <w:r>
              <w:rPr>
                <w:i/>
                <w:spacing w:val="-4"/>
                <w:sz w:val="22"/>
              </w:rPr>
              <w:t> </w:t>
            </w:r>
            <w:r>
              <w:rPr>
                <w:i/>
                <w:sz w:val="22"/>
              </w:rPr>
              <w:t>Economic</w:t>
            </w:r>
            <w:r>
              <w:rPr>
                <w:i/>
                <w:spacing w:val="-4"/>
                <w:sz w:val="22"/>
              </w:rPr>
              <w:t> </w:t>
            </w:r>
            <w:r>
              <w:rPr>
                <w:i/>
                <w:spacing w:val="-2"/>
                <w:sz w:val="22"/>
              </w:rPr>
              <w:t>Implications</w:t>
            </w:r>
          </w:p>
          <w:p>
            <w:pPr>
              <w:pStyle w:val="TableParagraph"/>
              <w:numPr>
                <w:ilvl w:val="0"/>
                <w:numId w:val="2"/>
              </w:numPr>
              <w:tabs>
                <w:tab w:pos="735" w:val="left" w:leader="none"/>
                <w:tab w:pos="2202" w:val="left" w:leader="none"/>
              </w:tabs>
              <w:spacing w:line="254" w:lineRule="auto" w:before="177" w:after="0"/>
              <w:ind w:left="734" w:right="97" w:hanging="478"/>
              <w:jc w:val="both"/>
              <w:rPr>
                <w:sz w:val="22"/>
              </w:rPr>
            </w:pPr>
            <w:r>
              <w:rPr>
                <w:spacing w:val="-2"/>
                <w:sz w:val="22"/>
              </w:rPr>
              <w:t>Improved</w:t>
            </w:r>
            <w:r>
              <w:rPr>
                <w:sz w:val="22"/>
              </w:rPr>
              <w:tab/>
            </w:r>
            <w:r>
              <w:rPr>
                <w:spacing w:val="-2"/>
                <w:sz w:val="22"/>
              </w:rPr>
              <w:t>economic</w:t>
            </w:r>
            <w:r>
              <w:rPr>
                <w:spacing w:val="-2"/>
                <w:sz w:val="22"/>
              </w:rPr>
              <w:t> activity</w:t>
            </w:r>
          </w:p>
          <w:p>
            <w:pPr>
              <w:pStyle w:val="TableParagraph"/>
              <w:numPr>
                <w:ilvl w:val="0"/>
                <w:numId w:val="2"/>
              </w:numPr>
              <w:tabs>
                <w:tab w:pos="735" w:val="left" w:leader="none"/>
              </w:tabs>
              <w:spacing w:line="256" w:lineRule="auto" w:before="164" w:after="0"/>
              <w:ind w:left="734" w:right="94" w:hanging="538"/>
              <w:jc w:val="both"/>
              <w:rPr>
                <w:i/>
                <w:sz w:val="22"/>
              </w:rPr>
            </w:pPr>
            <w:r>
              <w:rPr>
                <w:sz w:val="22"/>
              </w:rPr>
              <w:t>Increase in the number of months (10, 2) of </w:t>
            </w:r>
            <w:r>
              <w:rPr>
                <w:sz w:val="22"/>
              </w:rPr>
              <w:t>import cover due to </w:t>
            </w:r>
            <w:r>
              <w:rPr>
                <w:sz w:val="22"/>
              </w:rPr>
              <w:t>increased </w:t>
            </w:r>
            <w:r>
              <w:rPr>
                <w:spacing w:val="-2"/>
                <w:sz w:val="22"/>
              </w:rPr>
              <w:t>reserves</w:t>
            </w:r>
            <w:r>
              <w:rPr>
                <w:i/>
                <w:spacing w:val="-2"/>
                <w:sz w:val="22"/>
              </w:rPr>
              <w:t>.</w:t>
            </w:r>
          </w:p>
        </w:tc>
      </w:tr>
      <w:tr>
        <w:trPr>
          <w:trHeight w:val="1365" w:hRule="atLeast"/>
        </w:trPr>
        <w:tc>
          <w:tcPr>
            <w:tcW w:w="6320" w:type="dxa"/>
          </w:tcPr>
          <w:p>
            <w:pPr>
              <w:pStyle w:val="TableParagraph"/>
              <w:tabs>
                <w:tab w:pos="827" w:val="left" w:leader="none"/>
              </w:tabs>
              <w:spacing w:line="251" w:lineRule="exact"/>
              <w:ind w:left="467"/>
              <w:rPr>
                <w:b/>
                <w:sz w:val="22"/>
              </w:rPr>
            </w:pPr>
            <w:r>
              <w:rPr>
                <w:b/>
                <w:spacing w:val="-5"/>
                <w:sz w:val="22"/>
              </w:rPr>
              <w:t>f.</w:t>
            </w:r>
            <w:r>
              <w:rPr>
                <w:b/>
                <w:sz w:val="22"/>
              </w:rPr>
              <w:tab/>
              <w:t>Inflation</w:t>
            </w:r>
            <w:r>
              <w:rPr>
                <w:b/>
                <w:spacing w:val="-4"/>
                <w:sz w:val="22"/>
              </w:rPr>
              <w:t> </w:t>
            </w:r>
            <w:r>
              <w:rPr>
                <w:b/>
                <w:sz w:val="22"/>
              </w:rPr>
              <w:t>slightly</w:t>
            </w:r>
            <w:r>
              <w:rPr>
                <w:b/>
                <w:spacing w:val="-7"/>
                <w:sz w:val="22"/>
              </w:rPr>
              <w:t> </w:t>
            </w:r>
            <w:r>
              <w:rPr>
                <w:b/>
                <w:sz w:val="22"/>
              </w:rPr>
              <w:t>drops</w:t>
            </w:r>
            <w:r>
              <w:rPr>
                <w:b/>
                <w:spacing w:val="-5"/>
                <w:sz w:val="22"/>
              </w:rPr>
              <w:t> </w:t>
            </w:r>
            <w:r>
              <w:rPr>
                <w:b/>
                <w:sz w:val="22"/>
              </w:rPr>
              <w:t>but</w:t>
            </w:r>
            <w:r>
              <w:rPr>
                <w:b/>
                <w:spacing w:val="-4"/>
                <w:sz w:val="22"/>
              </w:rPr>
              <w:t> </w:t>
            </w:r>
            <w:r>
              <w:rPr>
                <w:b/>
                <w:sz w:val="22"/>
              </w:rPr>
              <w:t>remains</w:t>
            </w:r>
            <w:r>
              <w:rPr>
                <w:b/>
                <w:spacing w:val="-3"/>
                <w:sz w:val="22"/>
              </w:rPr>
              <w:t> </w:t>
            </w:r>
            <w:r>
              <w:rPr>
                <w:b/>
                <w:spacing w:val="-2"/>
                <w:sz w:val="22"/>
              </w:rPr>
              <w:t>higher</w:t>
            </w:r>
          </w:p>
          <w:p>
            <w:pPr>
              <w:pStyle w:val="TableParagraph"/>
              <w:spacing w:line="240" w:lineRule="auto" w:before="1"/>
              <w:ind w:left="0"/>
              <w:rPr>
                <w:sz w:val="25"/>
              </w:rPr>
            </w:pPr>
          </w:p>
          <w:p>
            <w:pPr>
              <w:pStyle w:val="TableParagraph"/>
              <w:spacing w:line="256" w:lineRule="auto" w:before="1"/>
              <w:rPr>
                <w:sz w:val="22"/>
              </w:rPr>
            </w:pPr>
            <w:r>
              <w:rPr>
                <w:sz w:val="22"/>
              </w:rPr>
              <w:t>Inflation dropped by 0.8% from 14.6% in August 2022 to 13.8% in September</w:t>
            </w:r>
            <w:r>
              <w:rPr>
                <w:spacing w:val="-1"/>
                <w:sz w:val="22"/>
              </w:rPr>
              <w:t> </w:t>
            </w:r>
            <w:r>
              <w:rPr>
                <w:sz w:val="22"/>
              </w:rPr>
              <w:t>2022, largely</w:t>
            </w:r>
            <w:r>
              <w:rPr>
                <w:spacing w:val="-4"/>
                <w:sz w:val="22"/>
              </w:rPr>
              <w:t> </w:t>
            </w:r>
            <w:r>
              <w:rPr>
                <w:sz w:val="22"/>
              </w:rPr>
              <w:t>reflecting</w:t>
            </w:r>
            <w:r>
              <w:rPr>
                <w:spacing w:val="-4"/>
                <w:sz w:val="22"/>
              </w:rPr>
              <w:t> </w:t>
            </w:r>
            <w:r>
              <w:rPr>
                <w:sz w:val="22"/>
              </w:rPr>
              <w:t>the</w:t>
            </w:r>
            <w:r>
              <w:rPr>
                <w:spacing w:val="2"/>
                <w:sz w:val="22"/>
              </w:rPr>
              <w:t> </w:t>
            </w:r>
            <w:r>
              <w:rPr>
                <w:sz w:val="22"/>
              </w:rPr>
              <w:t>fall</w:t>
            </w:r>
            <w:r>
              <w:rPr>
                <w:spacing w:val="-1"/>
                <w:sz w:val="22"/>
              </w:rPr>
              <w:t> </w:t>
            </w:r>
            <w:r>
              <w:rPr>
                <w:sz w:val="22"/>
              </w:rPr>
              <w:t>in</w:t>
            </w:r>
            <w:r>
              <w:rPr>
                <w:spacing w:val="-1"/>
                <w:sz w:val="22"/>
              </w:rPr>
              <w:t> </w:t>
            </w:r>
            <w:r>
              <w:rPr>
                <w:sz w:val="22"/>
              </w:rPr>
              <w:t>global oil</w:t>
            </w:r>
            <w:r>
              <w:rPr>
                <w:spacing w:val="1"/>
                <w:sz w:val="22"/>
              </w:rPr>
              <w:t> </w:t>
            </w:r>
            <w:r>
              <w:rPr>
                <w:sz w:val="22"/>
              </w:rPr>
              <w:t>prices,</w:t>
            </w:r>
            <w:r>
              <w:rPr>
                <w:spacing w:val="-1"/>
                <w:sz w:val="22"/>
              </w:rPr>
              <w:t> </w:t>
            </w:r>
            <w:r>
              <w:rPr>
                <w:spacing w:val="-2"/>
                <w:sz w:val="22"/>
              </w:rPr>
              <w:t>which</w:t>
            </w:r>
          </w:p>
          <w:p>
            <w:pPr>
              <w:pStyle w:val="TableParagraph"/>
              <w:spacing w:line="240" w:lineRule="auto" w:before="3"/>
              <w:rPr>
                <w:sz w:val="22"/>
              </w:rPr>
            </w:pPr>
            <w:r>
              <w:rPr>
                <w:sz w:val="22"/>
              </w:rPr>
              <w:t>translated</w:t>
            </w:r>
            <w:r>
              <w:rPr>
                <w:spacing w:val="5"/>
                <w:sz w:val="22"/>
              </w:rPr>
              <w:t> </w:t>
            </w:r>
            <w:r>
              <w:rPr>
                <w:sz w:val="22"/>
              </w:rPr>
              <w:t>to</w:t>
            </w:r>
            <w:r>
              <w:rPr>
                <w:spacing w:val="8"/>
                <w:sz w:val="22"/>
              </w:rPr>
              <w:t> </w:t>
            </w:r>
            <w:r>
              <w:rPr>
                <w:sz w:val="22"/>
              </w:rPr>
              <w:t>a</w:t>
            </w:r>
            <w:r>
              <w:rPr>
                <w:spacing w:val="8"/>
                <w:sz w:val="22"/>
              </w:rPr>
              <w:t> </w:t>
            </w:r>
            <w:r>
              <w:rPr>
                <w:sz w:val="22"/>
              </w:rPr>
              <w:t>decline</w:t>
            </w:r>
            <w:r>
              <w:rPr>
                <w:spacing w:val="9"/>
                <w:sz w:val="22"/>
              </w:rPr>
              <w:t> </w:t>
            </w:r>
            <w:r>
              <w:rPr>
                <w:sz w:val="22"/>
              </w:rPr>
              <w:t>of</w:t>
            </w:r>
            <w:r>
              <w:rPr>
                <w:spacing w:val="9"/>
                <w:sz w:val="22"/>
              </w:rPr>
              <w:t> </w:t>
            </w:r>
            <w:r>
              <w:rPr>
                <w:sz w:val="22"/>
              </w:rPr>
              <w:t>2%</w:t>
            </w:r>
            <w:r>
              <w:rPr>
                <w:spacing w:val="9"/>
                <w:sz w:val="22"/>
              </w:rPr>
              <w:t> </w:t>
            </w:r>
            <w:r>
              <w:rPr>
                <w:sz w:val="22"/>
              </w:rPr>
              <w:t>in</w:t>
            </w:r>
            <w:r>
              <w:rPr>
                <w:spacing w:val="8"/>
                <w:sz w:val="22"/>
              </w:rPr>
              <w:t> </w:t>
            </w:r>
            <w:r>
              <w:rPr>
                <w:sz w:val="22"/>
              </w:rPr>
              <w:t>the</w:t>
            </w:r>
            <w:r>
              <w:rPr>
                <w:spacing w:val="9"/>
                <w:sz w:val="22"/>
              </w:rPr>
              <w:t> </w:t>
            </w:r>
            <w:r>
              <w:rPr>
                <w:sz w:val="22"/>
              </w:rPr>
              <w:t>domestic</w:t>
            </w:r>
            <w:r>
              <w:rPr>
                <w:spacing w:val="6"/>
                <w:sz w:val="22"/>
              </w:rPr>
              <w:t> </w:t>
            </w:r>
            <w:r>
              <w:rPr>
                <w:sz w:val="22"/>
              </w:rPr>
              <w:t>Transport</w:t>
            </w:r>
            <w:r>
              <w:rPr>
                <w:spacing w:val="7"/>
                <w:sz w:val="22"/>
              </w:rPr>
              <w:t> </w:t>
            </w:r>
            <w:r>
              <w:rPr>
                <w:sz w:val="22"/>
              </w:rPr>
              <w:t>index.</w:t>
            </w:r>
            <w:r>
              <w:rPr>
                <w:spacing w:val="8"/>
                <w:sz w:val="22"/>
              </w:rPr>
              <w:t> </w:t>
            </w:r>
            <w:r>
              <w:rPr>
                <w:spacing w:val="-2"/>
                <w:sz w:val="22"/>
              </w:rPr>
              <w:t>Other</w:t>
            </w:r>
          </w:p>
        </w:tc>
        <w:tc>
          <w:tcPr>
            <w:tcW w:w="3168" w:type="dxa"/>
          </w:tcPr>
          <w:p>
            <w:pPr>
              <w:pStyle w:val="TableParagraph"/>
              <w:spacing w:line="247" w:lineRule="exact"/>
              <w:ind w:left="105"/>
              <w:rPr>
                <w:i/>
                <w:sz w:val="22"/>
              </w:rPr>
            </w:pPr>
            <w:r>
              <w:rPr>
                <w:i/>
                <w:sz w:val="22"/>
              </w:rPr>
              <w:t>Possible</w:t>
            </w:r>
            <w:r>
              <w:rPr>
                <w:i/>
                <w:spacing w:val="-4"/>
                <w:sz w:val="22"/>
              </w:rPr>
              <w:t> </w:t>
            </w:r>
            <w:r>
              <w:rPr>
                <w:i/>
                <w:sz w:val="22"/>
              </w:rPr>
              <w:t>Economic</w:t>
            </w:r>
            <w:r>
              <w:rPr>
                <w:i/>
                <w:spacing w:val="-4"/>
                <w:sz w:val="22"/>
              </w:rPr>
              <w:t> </w:t>
            </w:r>
            <w:r>
              <w:rPr>
                <w:i/>
                <w:spacing w:val="-2"/>
                <w:sz w:val="22"/>
              </w:rPr>
              <w:t>Implications;</w:t>
            </w:r>
          </w:p>
          <w:p>
            <w:pPr>
              <w:pStyle w:val="TableParagraph"/>
              <w:spacing w:line="240" w:lineRule="auto"/>
              <w:ind w:left="0"/>
              <w:rPr>
                <w:sz w:val="24"/>
              </w:rPr>
            </w:pPr>
          </w:p>
          <w:p>
            <w:pPr>
              <w:pStyle w:val="TableParagraph"/>
              <w:spacing w:line="240" w:lineRule="auto" w:before="1"/>
              <w:ind w:left="0"/>
              <w:rPr>
                <w:sz w:val="29"/>
              </w:rPr>
            </w:pPr>
          </w:p>
          <w:p>
            <w:pPr>
              <w:pStyle w:val="TableParagraph"/>
              <w:tabs>
                <w:tab w:pos="825" w:val="left" w:leader="none"/>
                <w:tab w:pos="1595" w:val="left" w:leader="none"/>
                <w:tab w:pos="2144" w:val="left" w:leader="none"/>
              </w:tabs>
              <w:spacing w:line="240" w:lineRule="auto"/>
              <w:ind w:left="309"/>
              <w:rPr>
                <w:sz w:val="22"/>
              </w:rPr>
            </w:pPr>
            <w:r>
              <w:rPr>
                <w:spacing w:val="-5"/>
                <w:sz w:val="22"/>
              </w:rPr>
              <w:t>i.</w:t>
            </w:r>
            <w:r>
              <w:rPr>
                <w:sz w:val="22"/>
              </w:rPr>
              <w:tab/>
            </w:r>
            <w:r>
              <w:rPr>
                <w:spacing w:val="-4"/>
                <w:sz w:val="22"/>
              </w:rPr>
              <w:t>Cost</w:t>
            </w:r>
            <w:r>
              <w:rPr>
                <w:sz w:val="22"/>
              </w:rPr>
              <w:tab/>
            </w:r>
            <w:r>
              <w:rPr>
                <w:spacing w:val="-5"/>
                <w:sz w:val="22"/>
              </w:rPr>
              <w:t>of</w:t>
            </w:r>
            <w:r>
              <w:rPr>
                <w:sz w:val="22"/>
              </w:rPr>
              <w:tab/>
            </w:r>
            <w:r>
              <w:rPr>
                <w:spacing w:val="-2"/>
                <w:sz w:val="22"/>
              </w:rPr>
              <w:t>borrowing</w:t>
            </w:r>
          </w:p>
        </w:tc>
      </w:tr>
    </w:tbl>
    <w:p>
      <w:pPr>
        <w:pStyle w:val="BodyText"/>
        <w:spacing w:before="10"/>
        <w:rPr>
          <w:sz w:val="20"/>
        </w:rPr>
      </w:pPr>
      <w:r>
        <w:rPr/>
        <w:pict>
          <v:rect style="position:absolute;margin-left:72.024002pt;margin-top:13.21997pt;width:144.020pt;height:.72003pt;mso-position-horizontal-relative:page;mso-position-vertical-relative:paragraph;z-index:-15725056;mso-wrap-distance-left:0;mso-wrap-distance-right:0" id="docshape8" filled="true" fillcolor="#000000" stroked="false">
            <v:fill type="solid"/>
            <w10:wrap type="topAndBottom"/>
          </v:rect>
        </w:pict>
      </w:r>
      <w:r>
        <w:rPr/>
        <w:pict>
          <v:shape style="position:absolute;margin-left:24.000002pt;margin-top:23.999945pt;width:547.450pt;height:794.05pt;mso-position-horizontal-relative:page;mso-position-vertical-relative:page;z-index:-16202752" id="docshape9"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w:r>
    </w:p>
    <w:p>
      <w:pPr>
        <w:pStyle w:val="BodyText"/>
        <w:spacing w:before="3"/>
        <w:rPr>
          <w:sz w:val="7"/>
        </w:rPr>
      </w:pPr>
    </w:p>
    <w:p>
      <w:pPr>
        <w:spacing w:before="76"/>
        <w:ind w:left="660" w:right="0" w:firstLine="0"/>
        <w:jc w:val="left"/>
        <w:rPr>
          <w:rFonts w:ascii="Calibri"/>
          <w:sz w:val="20"/>
        </w:rPr>
      </w:pPr>
      <w:r>
        <w:rPr>
          <w:rFonts w:ascii="Calibri"/>
          <w:sz w:val="20"/>
          <w:vertAlign w:val="superscript"/>
        </w:rPr>
        <w:t>2</w:t>
      </w:r>
      <w:r>
        <w:rPr>
          <w:rFonts w:ascii="Calibri"/>
          <w:spacing w:val="-9"/>
          <w:sz w:val="20"/>
          <w:vertAlign w:val="baseline"/>
        </w:rPr>
        <w:t> </w:t>
      </w:r>
      <w:r>
        <w:rPr>
          <w:rFonts w:ascii="Calibri"/>
          <w:sz w:val="20"/>
          <w:vertAlign w:val="baseline"/>
        </w:rPr>
        <w:t>Statistics</w:t>
      </w:r>
      <w:r>
        <w:rPr>
          <w:rFonts w:ascii="Calibri"/>
          <w:spacing w:val="-7"/>
          <w:sz w:val="20"/>
          <w:vertAlign w:val="baseline"/>
        </w:rPr>
        <w:t> </w:t>
      </w:r>
      <w:r>
        <w:rPr>
          <w:rFonts w:ascii="Calibri"/>
          <w:sz w:val="20"/>
          <w:vertAlign w:val="baseline"/>
        </w:rPr>
        <w:t>Botswana</w:t>
      </w:r>
      <w:r>
        <w:rPr>
          <w:rFonts w:ascii="Calibri"/>
          <w:spacing w:val="-8"/>
          <w:sz w:val="20"/>
          <w:vertAlign w:val="baseline"/>
        </w:rPr>
        <w:t> </w:t>
      </w:r>
      <w:r>
        <w:rPr>
          <w:rFonts w:ascii="Calibri"/>
          <w:sz w:val="20"/>
          <w:vertAlign w:val="baseline"/>
        </w:rPr>
        <w:t>International</w:t>
      </w:r>
      <w:r>
        <w:rPr>
          <w:rFonts w:ascii="Calibri"/>
          <w:spacing w:val="-7"/>
          <w:sz w:val="20"/>
          <w:vertAlign w:val="baseline"/>
        </w:rPr>
        <w:t> </w:t>
      </w:r>
      <w:r>
        <w:rPr>
          <w:rFonts w:ascii="Calibri"/>
          <w:sz w:val="20"/>
          <w:vertAlign w:val="baseline"/>
        </w:rPr>
        <w:t>Merchandise</w:t>
      </w:r>
      <w:r>
        <w:rPr>
          <w:rFonts w:ascii="Calibri"/>
          <w:spacing w:val="-7"/>
          <w:sz w:val="20"/>
          <w:vertAlign w:val="baseline"/>
        </w:rPr>
        <w:t> </w:t>
      </w:r>
      <w:r>
        <w:rPr>
          <w:rFonts w:ascii="Calibri"/>
          <w:sz w:val="20"/>
          <w:vertAlign w:val="baseline"/>
        </w:rPr>
        <w:t>Trade</w:t>
      </w:r>
      <w:r>
        <w:rPr>
          <w:rFonts w:ascii="Calibri"/>
          <w:spacing w:val="-9"/>
          <w:sz w:val="20"/>
          <w:vertAlign w:val="baseline"/>
        </w:rPr>
        <w:t> </w:t>
      </w:r>
      <w:r>
        <w:rPr>
          <w:rFonts w:ascii="Calibri"/>
          <w:sz w:val="20"/>
          <w:vertAlign w:val="baseline"/>
        </w:rPr>
        <w:t>Statistics</w:t>
      </w:r>
      <w:r>
        <w:rPr>
          <w:rFonts w:ascii="Calibri"/>
          <w:spacing w:val="-6"/>
          <w:sz w:val="20"/>
          <w:vertAlign w:val="baseline"/>
        </w:rPr>
        <w:t> </w:t>
      </w:r>
      <w:r>
        <w:rPr>
          <w:rFonts w:ascii="Calibri"/>
          <w:sz w:val="20"/>
          <w:vertAlign w:val="baseline"/>
        </w:rPr>
        <w:t>August</w:t>
      </w:r>
      <w:r>
        <w:rPr>
          <w:rFonts w:ascii="Calibri"/>
          <w:spacing w:val="-8"/>
          <w:sz w:val="20"/>
          <w:vertAlign w:val="baseline"/>
        </w:rPr>
        <w:t> </w:t>
      </w:r>
      <w:r>
        <w:rPr>
          <w:rFonts w:ascii="Calibri"/>
          <w:spacing w:val="-4"/>
          <w:sz w:val="20"/>
          <w:vertAlign w:val="baseline"/>
        </w:rPr>
        <w:t>2022</w:t>
      </w:r>
    </w:p>
    <w:p>
      <w:pPr>
        <w:spacing w:after="0"/>
        <w:jc w:val="left"/>
        <w:rPr>
          <w:rFonts w:ascii="Calibri"/>
          <w:sz w:val="20"/>
        </w:rPr>
        <w:sectPr>
          <w:type w:val="continuous"/>
          <w:pgSz w:w="11910" w:h="16840"/>
          <w:pgMar w:header="0" w:footer="1003" w:top="1400" w:bottom="1200" w:left="780" w:right="680"/>
        </w:sectPr>
      </w:pPr>
    </w:p>
    <w:tbl>
      <w:tblPr>
        <w:tblW w:w="0" w:type="auto"/>
        <w:jc w:val="left"/>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20"/>
        <w:gridCol w:w="3168"/>
      </w:tblGrid>
      <w:tr>
        <w:trPr>
          <w:trHeight w:val="5347" w:hRule="atLeast"/>
        </w:trPr>
        <w:tc>
          <w:tcPr>
            <w:tcW w:w="6320" w:type="dxa"/>
          </w:tcPr>
          <w:p>
            <w:pPr>
              <w:pStyle w:val="TableParagraph"/>
              <w:spacing w:line="259" w:lineRule="auto"/>
              <w:ind w:right="94"/>
              <w:jc w:val="both"/>
              <w:rPr>
                <w:sz w:val="22"/>
              </w:rPr>
            </w:pPr>
            <w:r>
              <w:rPr>
                <w:sz w:val="22"/>
              </w:rPr>
              <w:t>components that decline in the rate of price increase include</w:t>
            </w:r>
            <w:r>
              <w:rPr>
                <w:spacing w:val="40"/>
                <w:sz w:val="22"/>
              </w:rPr>
              <w:t> </w:t>
            </w:r>
            <w:r>
              <w:rPr>
                <w:sz w:val="22"/>
              </w:rPr>
              <w:t>Housing, Water, Electricity, Gas and Other Fuels and Miscellaneous Goods &amp; Services. With the drop in inflation, households may experience stabilised to improved purchasing power however dependent on the rate of income growth. Despite this slowdown in inflation, it still remains well above the Bank of Botswana medium term objective of 3-6% driven mainly by the ongoing high global energy</w:t>
            </w:r>
            <w:r>
              <w:rPr>
                <w:spacing w:val="-5"/>
                <w:sz w:val="22"/>
              </w:rPr>
              <w:t> </w:t>
            </w:r>
            <w:r>
              <w:rPr>
                <w:sz w:val="22"/>
              </w:rPr>
              <w:t>prices.</w:t>
            </w:r>
            <w:r>
              <w:rPr>
                <w:spacing w:val="-5"/>
                <w:sz w:val="22"/>
              </w:rPr>
              <w:t> </w:t>
            </w:r>
            <w:r>
              <w:rPr>
                <w:sz w:val="22"/>
              </w:rPr>
              <w:t>This</w:t>
            </w:r>
            <w:r>
              <w:rPr>
                <w:spacing w:val="-2"/>
                <w:sz w:val="22"/>
              </w:rPr>
              <w:t> </w:t>
            </w:r>
            <w:r>
              <w:rPr>
                <w:sz w:val="22"/>
              </w:rPr>
              <w:t>is</w:t>
            </w:r>
            <w:r>
              <w:rPr>
                <w:spacing w:val="-4"/>
                <w:sz w:val="22"/>
              </w:rPr>
              <w:t> </w:t>
            </w:r>
            <w:r>
              <w:rPr>
                <w:sz w:val="22"/>
              </w:rPr>
              <w:t>compounded</w:t>
            </w:r>
            <w:r>
              <w:rPr>
                <w:spacing w:val="-2"/>
                <w:sz w:val="22"/>
              </w:rPr>
              <w:t> </w:t>
            </w:r>
            <w:r>
              <w:rPr>
                <w:sz w:val="22"/>
              </w:rPr>
              <w:t>by</w:t>
            </w:r>
            <w:r>
              <w:rPr>
                <w:spacing w:val="-4"/>
                <w:sz w:val="22"/>
              </w:rPr>
              <w:t> </w:t>
            </w:r>
            <w:r>
              <w:rPr>
                <w:sz w:val="22"/>
              </w:rPr>
              <w:t>increased</w:t>
            </w:r>
            <w:r>
              <w:rPr>
                <w:spacing w:val="-2"/>
                <w:sz w:val="22"/>
              </w:rPr>
              <w:t> </w:t>
            </w:r>
            <w:r>
              <w:rPr>
                <w:sz w:val="22"/>
              </w:rPr>
              <w:t>costs</w:t>
            </w:r>
            <w:r>
              <w:rPr>
                <w:spacing w:val="-2"/>
                <w:sz w:val="22"/>
              </w:rPr>
              <w:t> </w:t>
            </w:r>
            <w:r>
              <w:rPr>
                <w:sz w:val="22"/>
              </w:rPr>
              <w:t>for</w:t>
            </w:r>
            <w:r>
              <w:rPr>
                <w:spacing w:val="-2"/>
                <w:sz w:val="22"/>
              </w:rPr>
              <w:t> </w:t>
            </w:r>
            <w:r>
              <w:rPr>
                <w:sz w:val="22"/>
              </w:rPr>
              <w:t>a</w:t>
            </w:r>
            <w:r>
              <w:rPr>
                <w:spacing w:val="-2"/>
                <w:sz w:val="22"/>
              </w:rPr>
              <w:t> </w:t>
            </w:r>
            <w:r>
              <w:rPr>
                <w:sz w:val="22"/>
              </w:rPr>
              <w:t>variety</w:t>
            </w:r>
            <w:r>
              <w:rPr>
                <w:spacing w:val="-5"/>
                <w:sz w:val="22"/>
              </w:rPr>
              <w:t> </w:t>
            </w:r>
            <w:r>
              <w:rPr>
                <w:sz w:val="22"/>
              </w:rPr>
              <w:t>of food items on the back of the impact of the Russian invasion of Ukraine on global fuel and food markets while at local level the imports restriction on some food commodities elevated the rise in prices. The Bank of Botswana expects inflation to continue on a downward trajectory and reach the 3-6% range by the third quarter</w:t>
            </w:r>
            <w:r>
              <w:rPr>
                <w:spacing w:val="40"/>
                <w:sz w:val="22"/>
              </w:rPr>
              <w:t> </w:t>
            </w:r>
            <w:r>
              <w:rPr>
                <w:sz w:val="22"/>
              </w:rPr>
              <w:t>of 2024.</w:t>
            </w:r>
          </w:p>
          <w:p>
            <w:pPr>
              <w:pStyle w:val="TableParagraph"/>
              <w:spacing w:line="259" w:lineRule="auto"/>
              <w:ind w:right="96"/>
              <w:jc w:val="both"/>
              <w:rPr>
                <w:sz w:val="22"/>
              </w:rPr>
            </w:pPr>
            <w:r>
              <w:rPr>
                <w:sz w:val="22"/>
              </w:rPr>
              <w:t>In response to persistent inflation, the Bank of Botswana increased the Monetary Policy Rate (MoPR) by 50 basis points from 2.15 percent to 2.65 percent in August 2022. This followed an earlier increase of 50 basis points in June 2022. The MoPR was maintained at 2.65 percent at the October MPC meeting.</w:t>
            </w:r>
          </w:p>
        </w:tc>
        <w:tc>
          <w:tcPr>
            <w:tcW w:w="3168" w:type="dxa"/>
          </w:tcPr>
          <w:p>
            <w:pPr>
              <w:pStyle w:val="TableParagraph"/>
              <w:spacing w:line="247" w:lineRule="exact"/>
              <w:ind w:left="875"/>
              <w:rPr>
                <w:sz w:val="22"/>
              </w:rPr>
            </w:pPr>
            <w:r>
              <w:rPr>
                <w:sz w:val="22"/>
              </w:rPr>
              <w:t>remaining</w:t>
            </w:r>
            <w:r>
              <w:rPr>
                <w:spacing w:val="-6"/>
                <w:sz w:val="22"/>
              </w:rPr>
              <w:t> </w:t>
            </w:r>
            <w:r>
              <w:rPr>
                <w:spacing w:val="-2"/>
                <w:sz w:val="22"/>
              </w:rPr>
              <w:t>high.</w:t>
            </w:r>
          </w:p>
          <w:p>
            <w:pPr>
              <w:pStyle w:val="TableParagraph"/>
              <w:spacing w:line="259" w:lineRule="auto" w:before="182"/>
              <w:ind w:left="875" w:right="95" w:hanging="567"/>
              <w:jc w:val="both"/>
              <w:rPr>
                <w:sz w:val="22"/>
              </w:rPr>
            </w:pPr>
            <w:r>
              <w:rPr>
                <w:i/>
                <w:sz w:val="22"/>
              </w:rPr>
              <w:t>ii.</w:t>
            </w:r>
            <w:r>
              <w:rPr>
                <w:i/>
                <w:spacing w:val="80"/>
                <w:sz w:val="22"/>
              </w:rPr>
              <w:t> </w:t>
            </w:r>
            <w:r>
              <w:rPr>
                <w:sz w:val="22"/>
              </w:rPr>
              <w:t>The</w:t>
            </w:r>
            <w:r>
              <w:rPr>
                <w:spacing w:val="40"/>
                <w:sz w:val="22"/>
              </w:rPr>
              <w:t> </w:t>
            </w:r>
            <w:r>
              <w:rPr>
                <w:sz w:val="22"/>
              </w:rPr>
              <w:t>continued</w:t>
            </w:r>
            <w:r>
              <w:rPr>
                <w:spacing w:val="40"/>
                <w:sz w:val="22"/>
              </w:rPr>
              <w:t> </w:t>
            </w:r>
            <w:r>
              <w:rPr>
                <w:sz w:val="22"/>
              </w:rPr>
              <w:t>global</w:t>
            </w:r>
            <w:r>
              <w:rPr>
                <w:spacing w:val="80"/>
                <w:w w:val="150"/>
                <w:sz w:val="22"/>
              </w:rPr>
              <w:t> </w:t>
            </w:r>
            <w:r>
              <w:rPr>
                <w:sz w:val="22"/>
              </w:rPr>
              <w:t>high inflation which</w:t>
            </w:r>
            <w:r>
              <w:rPr>
                <w:spacing w:val="40"/>
                <w:sz w:val="22"/>
              </w:rPr>
              <w:t> </w:t>
            </w:r>
            <w:r>
              <w:rPr>
                <w:sz w:val="22"/>
              </w:rPr>
              <w:t>may trigger a global cost-of-living crisis.</w:t>
            </w:r>
          </w:p>
        </w:tc>
      </w:tr>
      <w:tr>
        <w:trPr>
          <w:trHeight w:val="4367" w:hRule="atLeast"/>
        </w:trPr>
        <w:tc>
          <w:tcPr>
            <w:tcW w:w="6320" w:type="dxa"/>
          </w:tcPr>
          <w:p>
            <w:pPr>
              <w:pStyle w:val="TableParagraph"/>
              <w:spacing w:line="251" w:lineRule="exact"/>
              <w:ind w:left="467"/>
              <w:rPr>
                <w:b/>
                <w:sz w:val="22"/>
              </w:rPr>
            </w:pPr>
            <w:r>
              <w:rPr>
                <w:b/>
                <w:sz w:val="22"/>
              </w:rPr>
              <w:t>g.</w:t>
            </w:r>
            <w:r>
              <w:rPr>
                <w:b/>
                <w:spacing w:val="37"/>
                <w:sz w:val="22"/>
              </w:rPr>
              <w:t>  </w:t>
            </w:r>
            <w:r>
              <w:rPr>
                <w:b/>
                <w:sz w:val="22"/>
              </w:rPr>
              <w:t>Electricity</w:t>
            </w:r>
            <w:r>
              <w:rPr>
                <w:b/>
                <w:spacing w:val="-1"/>
                <w:sz w:val="22"/>
              </w:rPr>
              <w:t> </w:t>
            </w:r>
            <w:r>
              <w:rPr>
                <w:b/>
                <w:sz w:val="22"/>
              </w:rPr>
              <w:t>Generation</w:t>
            </w:r>
            <w:r>
              <w:rPr>
                <w:b/>
                <w:spacing w:val="-2"/>
                <w:sz w:val="22"/>
              </w:rPr>
              <w:t> Improving</w:t>
            </w:r>
          </w:p>
          <w:p>
            <w:pPr>
              <w:pStyle w:val="TableParagraph"/>
              <w:spacing w:line="240" w:lineRule="auto" w:before="8"/>
              <w:ind w:left="0"/>
              <w:rPr>
                <w:rFonts w:ascii="Calibri"/>
                <w:sz w:val="23"/>
              </w:rPr>
            </w:pPr>
          </w:p>
          <w:p>
            <w:pPr>
              <w:pStyle w:val="TableParagraph"/>
              <w:spacing w:line="259" w:lineRule="auto"/>
              <w:ind w:right="95"/>
              <w:jc w:val="both"/>
              <w:rPr>
                <w:sz w:val="22"/>
              </w:rPr>
            </w:pPr>
            <w:r>
              <w:rPr>
                <w:sz w:val="22"/>
              </w:rPr>
              <w:t>Local electricity generation increased by 85.5% to 937,597 MWH during the second quarter of 2022, from 505,313 MWH in the</w:t>
            </w:r>
            <w:r>
              <w:rPr>
                <w:spacing w:val="40"/>
                <w:sz w:val="22"/>
              </w:rPr>
              <w:t> </w:t>
            </w:r>
            <w:r>
              <w:rPr>
                <w:sz w:val="22"/>
              </w:rPr>
              <w:t>second quarter of 2021. The increase was due to improved output from Morupule power plants which accounted for 99.3% of electricity generation in the country, compared to 0.4% and 0.3%</w:t>
            </w:r>
            <w:r>
              <w:rPr>
                <w:spacing w:val="40"/>
                <w:sz w:val="22"/>
              </w:rPr>
              <w:t> </w:t>
            </w:r>
            <w:r>
              <w:rPr>
                <w:sz w:val="22"/>
              </w:rPr>
              <w:t>that is generated from Matshelagabedi and Orapa emergency power plants, respectively.</w:t>
            </w:r>
          </w:p>
          <w:p>
            <w:pPr>
              <w:pStyle w:val="TableParagraph"/>
              <w:spacing w:line="240" w:lineRule="auto" w:before="3"/>
              <w:ind w:left="0"/>
              <w:rPr>
                <w:rFonts w:ascii="Calibri"/>
                <w:sz w:val="22"/>
              </w:rPr>
            </w:pPr>
          </w:p>
          <w:p>
            <w:pPr>
              <w:pStyle w:val="TableParagraph"/>
              <w:spacing w:line="259" w:lineRule="auto" w:before="1"/>
              <w:ind w:right="96"/>
              <w:jc w:val="both"/>
              <w:rPr>
                <w:sz w:val="22"/>
              </w:rPr>
            </w:pPr>
            <w:r>
              <w:rPr>
                <w:sz w:val="22"/>
              </w:rPr>
              <w:t>Imported electricity declined from 463,171 MWH in the second quarter of 2021 to 162,340 MWH in the second quarter of 2022, representing a by 65% decline. The decline in imported electricity, which has been noticeable since the fourth quarter of 2021, reflects</w:t>
            </w:r>
            <w:r>
              <w:rPr>
                <w:spacing w:val="40"/>
                <w:sz w:val="22"/>
              </w:rPr>
              <w:t> </w:t>
            </w:r>
            <w:r>
              <w:rPr>
                <w:sz w:val="22"/>
              </w:rPr>
              <w:t>to</w:t>
            </w:r>
            <w:r>
              <w:rPr>
                <w:spacing w:val="5"/>
                <w:sz w:val="22"/>
              </w:rPr>
              <w:t> </w:t>
            </w:r>
            <w:r>
              <w:rPr>
                <w:sz w:val="22"/>
              </w:rPr>
              <w:t>a</w:t>
            </w:r>
            <w:r>
              <w:rPr>
                <w:spacing w:val="5"/>
                <w:sz w:val="22"/>
              </w:rPr>
              <w:t> </w:t>
            </w:r>
            <w:r>
              <w:rPr>
                <w:sz w:val="22"/>
              </w:rPr>
              <w:t>large</w:t>
            </w:r>
            <w:r>
              <w:rPr>
                <w:spacing w:val="8"/>
                <w:sz w:val="22"/>
              </w:rPr>
              <w:t> </w:t>
            </w:r>
            <w:r>
              <w:rPr>
                <w:sz w:val="22"/>
              </w:rPr>
              <w:t>extent</w:t>
            </w:r>
            <w:r>
              <w:rPr>
                <w:spacing w:val="8"/>
                <w:sz w:val="22"/>
              </w:rPr>
              <w:t> </w:t>
            </w:r>
            <w:r>
              <w:rPr>
                <w:sz w:val="22"/>
              </w:rPr>
              <w:t>continued</w:t>
            </w:r>
            <w:r>
              <w:rPr>
                <w:spacing w:val="4"/>
                <w:sz w:val="22"/>
              </w:rPr>
              <w:t> </w:t>
            </w:r>
            <w:r>
              <w:rPr>
                <w:sz w:val="22"/>
              </w:rPr>
              <w:t>efforts</w:t>
            </w:r>
            <w:r>
              <w:rPr>
                <w:spacing w:val="6"/>
                <w:sz w:val="22"/>
              </w:rPr>
              <w:t> </w:t>
            </w:r>
            <w:r>
              <w:rPr>
                <w:sz w:val="22"/>
              </w:rPr>
              <w:t>to</w:t>
            </w:r>
            <w:r>
              <w:rPr>
                <w:spacing w:val="7"/>
                <w:sz w:val="22"/>
              </w:rPr>
              <w:t> </w:t>
            </w:r>
            <w:r>
              <w:rPr>
                <w:sz w:val="22"/>
              </w:rPr>
              <w:t>generate</w:t>
            </w:r>
            <w:r>
              <w:rPr>
                <w:spacing w:val="8"/>
                <w:sz w:val="22"/>
              </w:rPr>
              <w:t> </w:t>
            </w:r>
            <w:r>
              <w:rPr>
                <w:sz w:val="22"/>
              </w:rPr>
              <w:t>adequate</w:t>
            </w:r>
            <w:r>
              <w:rPr>
                <w:spacing w:val="8"/>
                <w:sz w:val="22"/>
              </w:rPr>
              <w:t> </w:t>
            </w:r>
            <w:r>
              <w:rPr>
                <w:sz w:val="22"/>
              </w:rPr>
              <w:t>electricity</w:t>
            </w:r>
            <w:r>
              <w:rPr>
                <w:spacing w:val="6"/>
                <w:sz w:val="22"/>
              </w:rPr>
              <w:t> </w:t>
            </w:r>
            <w:r>
              <w:rPr>
                <w:spacing w:val="-5"/>
                <w:sz w:val="22"/>
              </w:rPr>
              <w:t>to</w:t>
            </w:r>
          </w:p>
          <w:p>
            <w:pPr>
              <w:pStyle w:val="TableParagraph"/>
              <w:spacing w:line="252" w:lineRule="exact"/>
              <w:jc w:val="both"/>
              <w:rPr>
                <w:sz w:val="22"/>
              </w:rPr>
            </w:pPr>
            <w:r>
              <w:rPr>
                <w:sz w:val="22"/>
              </w:rPr>
              <w:t>meet</w:t>
            </w:r>
            <w:r>
              <w:rPr>
                <w:spacing w:val="-4"/>
                <w:sz w:val="22"/>
              </w:rPr>
              <w:t> </w:t>
            </w:r>
            <w:r>
              <w:rPr>
                <w:sz w:val="22"/>
              </w:rPr>
              <w:t>domestic</w:t>
            </w:r>
            <w:r>
              <w:rPr>
                <w:spacing w:val="-3"/>
                <w:sz w:val="22"/>
              </w:rPr>
              <w:t> </w:t>
            </w:r>
            <w:r>
              <w:rPr>
                <w:spacing w:val="-2"/>
                <w:sz w:val="22"/>
              </w:rPr>
              <w:t>demand.</w:t>
            </w:r>
          </w:p>
        </w:tc>
        <w:tc>
          <w:tcPr>
            <w:tcW w:w="3168" w:type="dxa"/>
          </w:tcPr>
          <w:p>
            <w:pPr>
              <w:pStyle w:val="TableParagraph"/>
              <w:spacing w:line="247" w:lineRule="exact"/>
              <w:ind w:left="105"/>
              <w:rPr>
                <w:i/>
                <w:sz w:val="22"/>
              </w:rPr>
            </w:pPr>
            <w:r>
              <w:rPr>
                <w:i/>
                <w:sz w:val="22"/>
              </w:rPr>
              <w:t>Possible</w:t>
            </w:r>
            <w:r>
              <w:rPr>
                <w:i/>
                <w:spacing w:val="-4"/>
                <w:sz w:val="22"/>
              </w:rPr>
              <w:t> </w:t>
            </w:r>
            <w:r>
              <w:rPr>
                <w:i/>
                <w:sz w:val="22"/>
              </w:rPr>
              <w:t>Economic</w:t>
            </w:r>
            <w:r>
              <w:rPr>
                <w:i/>
                <w:spacing w:val="-4"/>
                <w:sz w:val="22"/>
              </w:rPr>
              <w:t> </w:t>
            </w:r>
            <w:r>
              <w:rPr>
                <w:i/>
                <w:spacing w:val="-2"/>
                <w:sz w:val="22"/>
              </w:rPr>
              <w:t>Implications;</w:t>
            </w:r>
          </w:p>
          <w:p>
            <w:pPr>
              <w:pStyle w:val="TableParagraph"/>
              <w:spacing w:line="240" w:lineRule="auto"/>
              <w:ind w:left="0"/>
              <w:rPr>
                <w:rFonts w:ascii="Calibri"/>
                <w:sz w:val="24"/>
              </w:rPr>
            </w:pPr>
          </w:p>
          <w:p>
            <w:pPr>
              <w:pStyle w:val="TableParagraph"/>
              <w:spacing w:line="240" w:lineRule="auto" w:before="10"/>
              <w:ind w:left="0"/>
              <w:rPr>
                <w:rFonts w:ascii="Calibri"/>
                <w:sz w:val="25"/>
              </w:rPr>
            </w:pPr>
          </w:p>
          <w:p>
            <w:pPr>
              <w:pStyle w:val="TableParagraph"/>
              <w:numPr>
                <w:ilvl w:val="0"/>
                <w:numId w:val="3"/>
              </w:numPr>
              <w:tabs>
                <w:tab w:pos="825" w:val="left" w:leader="none"/>
                <w:tab w:pos="826" w:val="left" w:leader="none"/>
                <w:tab w:pos="1997" w:val="left" w:leader="none"/>
                <w:tab w:pos="2887" w:val="left" w:leader="none"/>
              </w:tabs>
              <w:spacing w:line="256" w:lineRule="auto" w:before="0" w:after="0"/>
              <w:ind w:left="875" w:right="95" w:hanging="684"/>
              <w:jc w:val="left"/>
              <w:rPr>
                <w:sz w:val="22"/>
              </w:rPr>
            </w:pPr>
            <w:r>
              <w:rPr>
                <w:spacing w:val="-2"/>
                <w:sz w:val="22"/>
              </w:rPr>
              <w:t>Increased</w:t>
            </w:r>
            <w:r>
              <w:rPr>
                <w:sz w:val="22"/>
              </w:rPr>
              <w:tab/>
            </w:r>
            <w:r>
              <w:rPr>
                <w:spacing w:val="-2"/>
                <w:sz w:val="22"/>
              </w:rPr>
              <w:t>output</w:t>
            </w:r>
            <w:r>
              <w:rPr>
                <w:sz w:val="22"/>
              </w:rPr>
              <w:tab/>
            </w:r>
            <w:r>
              <w:rPr>
                <w:spacing w:val="-6"/>
                <w:sz w:val="22"/>
              </w:rPr>
              <w:t>in</w:t>
            </w:r>
            <w:r>
              <w:rPr>
                <w:spacing w:val="-6"/>
                <w:sz w:val="22"/>
              </w:rPr>
              <w:t> </w:t>
            </w:r>
            <w:r>
              <w:rPr>
                <w:sz w:val="22"/>
              </w:rPr>
              <w:t>Electricity value added</w:t>
            </w:r>
          </w:p>
          <w:p>
            <w:pPr>
              <w:pStyle w:val="TableParagraph"/>
              <w:numPr>
                <w:ilvl w:val="0"/>
                <w:numId w:val="3"/>
              </w:numPr>
              <w:tabs>
                <w:tab w:pos="825" w:val="left" w:leader="none"/>
                <w:tab w:pos="826" w:val="left" w:leader="none"/>
                <w:tab w:pos="2180" w:val="left" w:leader="none"/>
              </w:tabs>
              <w:spacing w:line="259" w:lineRule="auto" w:before="4" w:after="0"/>
              <w:ind w:left="875" w:right="95" w:hanging="744"/>
              <w:jc w:val="left"/>
              <w:rPr>
                <w:sz w:val="22"/>
              </w:rPr>
            </w:pPr>
            <w:r>
              <w:rPr>
                <w:spacing w:val="-2"/>
                <w:sz w:val="22"/>
              </w:rPr>
              <w:t>Reduced</w:t>
            </w:r>
            <w:r>
              <w:rPr>
                <w:sz w:val="22"/>
              </w:rPr>
              <w:tab/>
            </w:r>
            <w:r>
              <w:rPr>
                <w:spacing w:val="-2"/>
                <w:sz w:val="22"/>
              </w:rPr>
              <w:t>electricity</w:t>
            </w:r>
            <w:r>
              <w:rPr>
                <w:spacing w:val="-2"/>
                <w:sz w:val="22"/>
              </w:rPr>
              <w:t> imports</w:t>
            </w:r>
          </w:p>
        </w:tc>
      </w:tr>
      <w:tr>
        <w:trPr>
          <w:trHeight w:val="4096" w:hRule="atLeast"/>
        </w:trPr>
        <w:tc>
          <w:tcPr>
            <w:tcW w:w="6320" w:type="dxa"/>
          </w:tcPr>
          <w:p>
            <w:pPr>
              <w:pStyle w:val="TableParagraph"/>
              <w:spacing w:line="240" w:lineRule="auto" w:before="3"/>
              <w:ind w:left="0"/>
              <w:rPr>
                <w:rFonts w:ascii="Calibri"/>
                <w:sz w:val="22"/>
              </w:rPr>
            </w:pPr>
          </w:p>
          <w:p>
            <w:pPr>
              <w:pStyle w:val="TableParagraph"/>
              <w:spacing w:line="240" w:lineRule="auto"/>
              <w:ind w:left="467"/>
              <w:rPr>
                <w:b/>
                <w:sz w:val="22"/>
              </w:rPr>
            </w:pPr>
            <w:r>
              <w:rPr>
                <w:b/>
                <w:sz w:val="22"/>
              </w:rPr>
              <w:t>h.</w:t>
            </w:r>
            <w:r>
              <w:rPr>
                <w:b/>
                <w:spacing w:val="32"/>
                <w:sz w:val="22"/>
              </w:rPr>
              <w:t>  </w:t>
            </w:r>
            <w:r>
              <w:rPr>
                <w:b/>
                <w:sz w:val="22"/>
              </w:rPr>
              <w:t>Transport</w:t>
            </w:r>
            <w:r>
              <w:rPr>
                <w:b/>
                <w:spacing w:val="-1"/>
                <w:sz w:val="22"/>
              </w:rPr>
              <w:t> </w:t>
            </w:r>
            <w:r>
              <w:rPr>
                <w:b/>
                <w:sz w:val="22"/>
              </w:rPr>
              <w:t>sector</w:t>
            </w:r>
            <w:r>
              <w:rPr>
                <w:b/>
                <w:spacing w:val="-2"/>
                <w:sz w:val="22"/>
              </w:rPr>
              <w:t> </w:t>
            </w:r>
            <w:r>
              <w:rPr>
                <w:b/>
                <w:sz w:val="22"/>
              </w:rPr>
              <w:t>performance</w:t>
            </w:r>
            <w:r>
              <w:rPr>
                <w:b/>
                <w:spacing w:val="-2"/>
                <w:sz w:val="22"/>
              </w:rPr>
              <w:t> improves.</w:t>
            </w:r>
          </w:p>
          <w:p>
            <w:pPr>
              <w:pStyle w:val="TableParagraph"/>
              <w:spacing w:line="240" w:lineRule="auto" w:before="9"/>
              <w:ind w:left="0"/>
              <w:rPr>
                <w:rFonts w:ascii="Calibri"/>
                <w:sz w:val="23"/>
              </w:rPr>
            </w:pPr>
          </w:p>
          <w:p>
            <w:pPr>
              <w:pStyle w:val="TableParagraph"/>
              <w:spacing w:line="259" w:lineRule="auto"/>
              <w:ind w:right="94"/>
              <w:jc w:val="both"/>
              <w:rPr>
                <w:sz w:val="22"/>
              </w:rPr>
            </w:pPr>
            <w:r>
              <w:rPr>
                <w:sz w:val="22"/>
              </w:rPr>
              <w:t>The sector recorded a total of 7,727 newly registered motor vehicles second quarter of 2022 representing a decline of 3.1% from the first quarter 2022. The registration is also lower compared to the pre- pandemic averages of 10</w:t>
            </w:r>
            <w:r>
              <w:rPr>
                <w:spacing w:val="-1"/>
                <w:sz w:val="22"/>
              </w:rPr>
              <w:t> </w:t>
            </w:r>
            <w:r>
              <w:rPr>
                <w:sz w:val="22"/>
              </w:rPr>
              <w:t>000 vehicles registered per quarter. Used vehicles, brand new and rebuilt accounted for 79.9%, 20.0% and 0.1%, respectively. The majority of the newly registered vehicles originated from Japan, accounting for 69.7%, while vehicles from South Africa and Botswana constituted 20.2% and 5.0%,</w:t>
            </w:r>
            <w:r>
              <w:rPr>
                <w:spacing w:val="80"/>
                <w:sz w:val="22"/>
              </w:rPr>
              <w:t> </w:t>
            </w:r>
            <w:r>
              <w:rPr>
                <w:spacing w:val="-2"/>
                <w:sz w:val="22"/>
              </w:rPr>
              <w:t>respectively</w:t>
            </w:r>
          </w:p>
          <w:p>
            <w:pPr>
              <w:pStyle w:val="TableParagraph"/>
              <w:spacing w:line="240" w:lineRule="auto" w:before="9"/>
              <w:ind w:left="0"/>
              <w:rPr>
                <w:rFonts w:ascii="Calibri"/>
                <w:sz w:val="20"/>
              </w:rPr>
            </w:pPr>
          </w:p>
          <w:p>
            <w:pPr>
              <w:pStyle w:val="TableParagraph"/>
              <w:spacing w:line="270" w:lineRule="atLeast"/>
              <w:ind w:right="94"/>
              <w:jc w:val="both"/>
              <w:rPr>
                <w:sz w:val="22"/>
              </w:rPr>
            </w:pPr>
            <w:r>
              <w:rPr>
                <w:sz w:val="22"/>
              </w:rPr>
              <w:t>During Q2 of 2022, transportation of goods through the railway increased</w:t>
            </w:r>
            <w:r>
              <w:rPr>
                <w:spacing w:val="19"/>
                <w:sz w:val="22"/>
              </w:rPr>
              <w:t> </w:t>
            </w:r>
            <w:r>
              <w:rPr>
                <w:sz w:val="22"/>
              </w:rPr>
              <w:t>by</w:t>
            </w:r>
            <w:r>
              <w:rPr>
                <w:spacing w:val="17"/>
                <w:sz w:val="22"/>
              </w:rPr>
              <w:t> </w:t>
            </w:r>
            <w:r>
              <w:rPr>
                <w:sz w:val="22"/>
              </w:rPr>
              <w:t>2.8%</w:t>
            </w:r>
            <w:r>
              <w:rPr>
                <w:spacing w:val="21"/>
                <w:sz w:val="22"/>
              </w:rPr>
              <w:t> </w:t>
            </w:r>
            <w:r>
              <w:rPr>
                <w:sz w:val="22"/>
              </w:rPr>
              <w:t>from</w:t>
            </w:r>
            <w:r>
              <w:rPr>
                <w:spacing w:val="15"/>
                <w:sz w:val="22"/>
              </w:rPr>
              <w:t> </w:t>
            </w:r>
            <w:r>
              <w:rPr>
                <w:sz w:val="22"/>
              </w:rPr>
              <w:t>228,597</w:t>
            </w:r>
            <w:r>
              <w:rPr>
                <w:spacing w:val="18"/>
                <w:sz w:val="22"/>
              </w:rPr>
              <w:t> </w:t>
            </w:r>
            <w:r>
              <w:rPr>
                <w:sz w:val="22"/>
              </w:rPr>
              <w:t>tonnes</w:t>
            </w:r>
            <w:r>
              <w:rPr>
                <w:spacing w:val="21"/>
                <w:sz w:val="22"/>
              </w:rPr>
              <w:t> </w:t>
            </w:r>
            <w:r>
              <w:rPr>
                <w:sz w:val="22"/>
              </w:rPr>
              <w:t>in</w:t>
            </w:r>
            <w:r>
              <w:rPr>
                <w:spacing w:val="19"/>
                <w:sz w:val="22"/>
              </w:rPr>
              <w:t> </w:t>
            </w:r>
            <w:r>
              <w:rPr>
                <w:sz w:val="22"/>
              </w:rPr>
              <w:t>Q1</w:t>
            </w:r>
            <w:r>
              <w:rPr>
                <w:spacing w:val="19"/>
                <w:sz w:val="22"/>
              </w:rPr>
              <w:t> </w:t>
            </w:r>
            <w:r>
              <w:rPr>
                <w:sz w:val="22"/>
              </w:rPr>
              <w:t>2022</w:t>
            </w:r>
            <w:r>
              <w:rPr>
                <w:spacing w:val="15"/>
                <w:sz w:val="22"/>
              </w:rPr>
              <w:t> </w:t>
            </w:r>
            <w:r>
              <w:rPr>
                <w:sz w:val="22"/>
              </w:rPr>
              <w:t>to</w:t>
            </w:r>
            <w:r>
              <w:rPr>
                <w:spacing w:val="19"/>
                <w:sz w:val="22"/>
              </w:rPr>
              <w:t> </w:t>
            </w:r>
            <w:r>
              <w:rPr>
                <w:sz w:val="22"/>
              </w:rPr>
              <w:t>235,051</w:t>
            </w:r>
            <w:r>
              <w:rPr>
                <w:spacing w:val="20"/>
                <w:sz w:val="22"/>
              </w:rPr>
              <w:t> </w:t>
            </w:r>
            <w:r>
              <w:rPr>
                <w:spacing w:val="-5"/>
                <w:sz w:val="22"/>
              </w:rPr>
              <w:t>net</w:t>
            </w:r>
          </w:p>
        </w:tc>
        <w:tc>
          <w:tcPr>
            <w:tcW w:w="3168" w:type="dxa"/>
          </w:tcPr>
          <w:p>
            <w:pPr>
              <w:pStyle w:val="TableParagraph"/>
              <w:spacing w:line="249" w:lineRule="exact"/>
              <w:ind w:left="105"/>
              <w:rPr>
                <w:i/>
                <w:sz w:val="22"/>
              </w:rPr>
            </w:pPr>
            <w:r>
              <w:rPr>
                <w:i/>
                <w:sz w:val="22"/>
              </w:rPr>
              <w:t>Possible</w:t>
            </w:r>
            <w:r>
              <w:rPr>
                <w:i/>
                <w:spacing w:val="-4"/>
                <w:sz w:val="22"/>
              </w:rPr>
              <w:t> </w:t>
            </w:r>
            <w:r>
              <w:rPr>
                <w:i/>
                <w:sz w:val="22"/>
              </w:rPr>
              <w:t>Economic</w:t>
            </w:r>
            <w:r>
              <w:rPr>
                <w:i/>
                <w:spacing w:val="-4"/>
                <w:sz w:val="22"/>
              </w:rPr>
              <w:t> </w:t>
            </w:r>
            <w:r>
              <w:rPr>
                <w:i/>
                <w:spacing w:val="-2"/>
                <w:sz w:val="22"/>
              </w:rPr>
              <w:t>Implications:</w:t>
            </w:r>
          </w:p>
          <w:p>
            <w:pPr>
              <w:pStyle w:val="TableParagraph"/>
              <w:spacing w:line="240" w:lineRule="auto"/>
              <w:ind w:left="0"/>
              <w:rPr>
                <w:rFonts w:ascii="Calibri"/>
                <w:sz w:val="24"/>
              </w:rPr>
            </w:pPr>
          </w:p>
          <w:p>
            <w:pPr>
              <w:pStyle w:val="TableParagraph"/>
              <w:spacing w:line="240" w:lineRule="auto" w:before="8"/>
              <w:ind w:left="0"/>
              <w:rPr>
                <w:rFonts w:ascii="Calibri"/>
                <w:sz w:val="25"/>
              </w:rPr>
            </w:pPr>
          </w:p>
          <w:p>
            <w:pPr>
              <w:pStyle w:val="TableParagraph"/>
              <w:numPr>
                <w:ilvl w:val="0"/>
                <w:numId w:val="4"/>
              </w:numPr>
              <w:tabs>
                <w:tab w:pos="825" w:val="left" w:leader="none"/>
                <w:tab w:pos="826" w:val="left" w:leader="none"/>
              </w:tabs>
              <w:spacing w:line="240" w:lineRule="auto" w:before="0" w:after="0"/>
              <w:ind w:left="825" w:right="0" w:hanging="361"/>
              <w:jc w:val="left"/>
              <w:rPr>
                <w:sz w:val="22"/>
              </w:rPr>
            </w:pPr>
            <w:r>
              <w:rPr>
                <w:sz w:val="22"/>
              </w:rPr>
              <w:t>Increased</w:t>
            </w:r>
            <w:r>
              <w:rPr>
                <w:spacing w:val="-4"/>
                <w:sz w:val="22"/>
              </w:rPr>
              <w:t> </w:t>
            </w:r>
            <w:r>
              <w:rPr>
                <w:sz w:val="22"/>
              </w:rPr>
              <w:t>trade</w:t>
            </w:r>
            <w:r>
              <w:rPr>
                <w:spacing w:val="-2"/>
                <w:sz w:val="22"/>
              </w:rPr>
              <w:t> </w:t>
            </w:r>
            <w:r>
              <w:rPr>
                <w:sz w:val="22"/>
              </w:rPr>
              <w:t>in</w:t>
            </w:r>
            <w:r>
              <w:rPr>
                <w:spacing w:val="-4"/>
                <w:sz w:val="22"/>
              </w:rPr>
              <w:t> </w:t>
            </w:r>
            <w:r>
              <w:rPr>
                <w:spacing w:val="-2"/>
                <w:sz w:val="22"/>
              </w:rPr>
              <w:t>goods</w:t>
            </w:r>
          </w:p>
          <w:p>
            <w:pPr>
              <w:pStyle w:val="TableParagraph"/>
              <w:numPr>
                <w:ilvl w:val="0"/>
                <w:numId w:val="4"/>
              </w:numPr>
              <w:tabs>
                <w:tab w:pos="826" w:val="left" w:leader="none"/>
              </w:tabs>
              <w:spacing w:line="259" w:lineRule="auto" w:before="179" w:after="0"/>
              <w:ind w:left="825" w:right="95" w:hanging="360"/>
              <w:jc w:val="both"/>
              <w:rPr>
                <w:sz w:val="22"/>
              </w:rPr>
            </w:pPr>
            <w:r>
              <w:rPr>
                <w:sz w:val="22"/>
              </w:rPr>
              <w:t>Increased activity within the civil </w:t>
            </w:r>
            <w:r>
              <w:rPr>
                <w:sz w:val="22"/>
              </w:rPr>
              <w:t>aviation </w:t>
            </w:r>
            <w:r>
              <w:rPr>
                <w:spacing w:val="-2"/>
                <w:sz w:val="22"/>
              </w:rPr>
              <w:t>industry.</w:t>
            </w:r>
          </w:p>
        </w:tc>
      </w:tr>
    </w:tbl>
    <w:p>
      <w:pPr>
        <w:rPr>
          <w:sz w:val="2"/>
          <w:szCs w:val="2"/>
        </w:rPr>
      </w:pPr>
      <w:r>
        <w:rPr/>
        <w:pict>
          <v:shape style="position:absolute;margin-left:24.000002pt;margin-top:23.999945pt;width:547.450pt;height:794.05pt;mso-position-horizontal-relative:page;mso-position-vertical-relative:page;z-index:-16202240" id="docshape10"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w:r>
    </w:p>
    <w:p>
      <w:pPr>
        <w:spacing w:after="0"/>
        <w:rPr>
          <w:sz w:val="2"/>
          <w:szCs w:val="2"/>
        </w:rPr>
        <w:sectPr>
          <w:pgSz w:w="11910" w:h="16840"/>
          <w:pgMar w:header="0" w:footer="1003" w:top="1400" w:bottom="1200" w:left="780" w:right="680"/>
        </w:sectPr>
      </w:pPr>
    </w:p>
    <w:tbl>
      <w:tblPr>
        <w:tblW w:w="0" w:type="auto"/>
        <w:jc w:val="left"/>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20"/>
        <w:gridCol w:w="3168"/>
      </w:tblGrid>
      <w:tr>
        <w:trPr>
          <w:trHeight w:val="2731" w:hRule="atLeast"/>
        </w:trPr>
        <w:tc>
          <w:tcPr>
            <w:tcW w:w="6320" w:type="dxa"/>
          </w:tcPr>
          <w:p>
            <w:pPr>
              <w:pStyle w:val="TableParagraph"/>
              <w:spacing w:line="259" w:lineRule="auto"/>
              <w:ind w:right="98"/>
              <w:jc w:val="both"/>
              <w:rPr>
                <w:sz w:val="22"/>
              </w:rPr>
            </w:pPr>
            <w:r>
              <w:rPr>
                <w:sz w:val="22"/>
              </w:rPr>
              <w:t>tons of goods in Q2. Aircraft movements increased significantly to 17,902 movements in Q2 2022 from 8,802 in Q1 2022. International aircraft movements made up 20.7%, while 79.3% were domestic. A total of 77,151 people used Kazungula Bridge in the second quarter. This was an increase of 47.5% from 52,320 in the previous quarter. Arrivals constituted 52.5% of total movements on the bridge while departures made up 47.5% of the total.</w:t>
            </w:r>
          </w:p>
          <w:p>
            <w:pPr>
              <w:pStyle w:val="TableParagraph"/>
              <w:spacing w:line="240" w:lineRule="auto" w:before="4"/>
              <w:ind w:left="0"/>
              <w:rPr>
                <w:rFonts w:ascii="Calibri"/>
                <w:sz w:val="20"/>
              </w:rPr>
            </w:pPr>
          </w:p>
          <w:p>
            <w:pPr>
              <w:pStyle w:val="TableParagraph"/>
              <w:spacing w:line="270" w:lineRule="atLeast"/>
              <w:ind w:right="99"/>
              <w:jc w:val="both"/>
              <w:rPr>
                <w:sz w:val="22"/>
              </w:rPr>
            </w:pPr>
            <w:r>
              <w:rPr>
                <w:sz w:val="22"/>
              </w:rPr>
              <w:t>Apart from vehicle registrations, the results show improved sector activity following the relaxation of COVID-19 measures.</w:t>
            </w:r>
          </w:p>
        </w:tc>
        <w:tc>
          <w:tcPr>
            <w:tcW w:w="3168" w:type="dxa"/>
          </w:tcPr>
          <w:p>
            <w:pPr>
              <w:pStyle w:val="TableParagraph"/>
              <w:spacing w:line="240" w:lineRule="auto"/>
              <w:ind w:left="0"/>
              <w:rPr>
                <w:sz w:val="22"/>
              </w:rPr>
            </w:pPr>
          </w:p>
        </w:tc>
      </w:tr>
    </w:tbl>
    <w:p>
      <w:pPr>
        <w:rPr>
          <w:sz w:val="2"/>
          <w:szCs w:val="2"/>
        </w:rPr>
      </w:pPr>
      <w:r>
        <w:rPr/>
        <w:pict>
          <v:shape style="position:absolute;margin-left:24.000002pt;margin-top:23.999945pt;width:547.450pt;height:794.05pt;mso-position-horizontal-relative:page;mso-position-vertical-relative:page;z-index:-16201728" id="docshape11"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w:r>
    </w:p>
    <w:p>
      <w:pPr>
        <w:spacing w:after="0"/>
        <w:rPr>
          <w:sz w:val="2"/>
          <w:szCs w:val="2"/>
        </w:rPr>
        <w:sectPr>
          <w:type w:val="continuous"/>
          <w:pgSz w:w="11910" w:h="16840"/>
          <w:pgMar w:header="0" w:footer="1003" w:top="1400" w:bottom="1200" w:left="780" w:right="680"/>
        </w:sectPr>
      </w:pPr>
    </w:p>
    <w:p>
      <w:pPr>
        <w:pStyle w:val="Heading1"/>
        <w:spacing w:before="80"/>
        <w:ind w:right="1681"/>
      </w:pPr>
      <w:r>
        <w:rPr/>
        <w:pict>
          <v:shape style="position:absolute;margin-left:24.000002pt;margin-top:23.999945pt;width:547.450pt;height:794.05pt;mso-position-horizontal-relative:page;mso-position-vertical-relative:page;z-index:-16200704" id="docshape12"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w:r>
      <w:r>
        <w:rPr/>
        <w:t>DASHBOARD</w:t>
      </w:r>
      <w:r>
        <w:rPr>
          <w:spacing w:val="-8"/>
        </w:rPr>
        <w:t> </w:t>
      </w:r>
      <w:r>
        <w:rPr/>
        <w:t>TABLE:</w:t>
      </w:r>
      <w:r>
        <w:rPr>
          <w:spacing w:val="-9"/>
        </w:rPr>
        <w:t> </w:t>
      </w:r>
      <w:r>
        <w:rPr/>
        <w:t>PERFORMANCE</w:t>
      </w:r>
      <w:r>
        <w:rPr>
          <w:spacing w:val="-8"/>
        </w:rPr>
        <w:t> </w:t>
      </w:r>
      <w:r>
        <w:rPr/>
        <w:t>OF</w:t>
      </w:r>
      <w:r>
        <w:rPr>
          <w:spacing w:val="-6"/>
        </w:rPr>
        <w:t> </w:t>
      </w:r>
      <w:r>
        <w:rPr/>
        <w:t>ECONOMIC</w:t>
      </w:r>
      <w:r>
        <w:rPr>
          <w:spacing w:val="-7"/>
        </w:rPr>
        <w:t> </w:t>
      </w:r>
      <w:r>
        <w:rPr>
          <w:spacing w:val="-2"/>
        </w:rPr>
        <w:t>INDICATORS</w:t>
      </w:r>
    </w:p>
    <w:p>
      <w:pPr>
        <w:pStyle w:val="BodyText"/>
        <w:spacing w:before="3"/>
        <w:rPr>
          <w:b/>
          <w:sz w:val="15"/>
        </w:rPr>
      </w:pPr>
    </w:p>
    <w:tbl>
      <w:tblPr>
        <w:tblW w:w="0" w:type="auto"/>
        <w:jc w:val="left"/>
        <w:tblInd w:w="1128" w:type="dxa"/>
        <w:tblBorders>
          <w:top w:val="single" w:sz="4" w:space="0" w:color="9CC2E4"/>
          <w:left w:val="single" w:sz="4" w:space="0" w:color="9CC2E4"/>
          <w:bottom w:val="single" w:sz="4" w:space="0" w:color="9CC2E4"/>
          <w:right w:val="single" w:sz="4" w:space="0" w:color="9CC2E4"/>
          <w:insideH w:val="single" w:sz="4" w:space="0" w:color="9CC2E4"/>
          <w:insideV w:val="single" w:sz="4" w:space="0" w:color="9CC2E4"/>
        </w:tblBorders>
        <w:tblLayout w:type="fixed"/>
        <w:tblCellMar>
          <w:top w:w="0" w:type="dxa"/>
          <w:left w:w="0" w:type="dxa"/>
          <w:bottom w:w="0" w:type="dxa"/>
          <w:right w:w="0" w:type="dxa"/>
        </w:tblCellMar>
        <w:tblLook w:val="01E0"/>
      </w:tblPr>
      <w:tblGrid>
        <w:gridCol w:w="3425"/>
        <w:gridCol w:w="1186"/>
        <w:gridCol w:w="1277"/>
        <w:gridCol w:w="1246"/>
        <w:gridCol w:w="972"/>
      </w:tblGrid>
      <w:tr>
        <w:trPr>
          <w:trHeight w:val="331" w:hRule="atLeast"/>
        </w:trPr>
        <w:tc>
          <w:tcPr>
            <w:tcW w:w="3425" w:type="dxa"/>
            <w:tcBorders>
              <w:top w:val="nil"/>
              <w:left w:val="nil"/>
              <w:bottom w:val="nil"/>
              <w:right w:val="nil"/>
            </w:tcBorders>
            <w:shd w:val="clear" w:color="auto" w:fill="5B9BD4"/>
          </w:tcPr>
          <w:p>
            <w:pPr>
              <w:pStyle w:val="TableParagraph"/>
              <w:spacing w:line="240" w:lineRule="auto" w:before="12"/>
              <w:ind w:left="112"/>
              <w:rPr>
                <w:b/>
                <w:sz w:val="18"/>
              </w:rPr>
            </w:pPr>
            <w:r>
              <w:rPr>
                <w:b/>
                <w:sz w:val="18"/>
              </w:rPr>
              <w:t>Price</w:t>
            </w:r>
            <w:r>
              <w:rPr>
                <w:b/>
                <w:spacing w:val="-5"/>
                <w:sz w:val="18"/>
              </w:rPr>
              <w:t> </w:t>
            </w:r>
            <w:r>
              <w:rPr>
                <w:b/>
                <w:sz w:val="18"/>
              </w:rPr>
              <w:t>Levels</w:t>
            </w:r>
            <w:r>
              <w:rPr>
                <w:b/>
                <w:spacing w:val="-3"/>
                <w:sz w:val="18"/>
              </w:rPr>
              <w:t> </w:t>
            </w:r>
            <w:r>
              <w:rPr>
                <w:b/>
                <w:spacing w:val="-5"/>
                <w:sz w:val="18"/>
              </w:rPr>
              <w:t>(%)</w:t>
            </w:r>
          </w:p>
        </w:tc>
        <w:tc>
          <w:tcPr>
            <w:tcW w:w="1186" w:type="dxa"/>
            <w:tcBorders>
              <w:top w:val="nil"/>
              <w:left w:val="nil"/>
              <w:bottom w:val="nil"/>
              <w:right w:val="nil"/>
            </w:tcBorders>
            <w:shd w:val="clear" w:color="auto" w:fill="5B9BD4"/>
          </w:tcPr>
          <w:p>
            <w:pPr>
              <w:pStyle w:val="TableParagraph"/>
              <w:spacing w:line="240" w:lineRule="auto" w:before="12"/>
              <w:ind w:left="240" w:right="230"/>
              <w:jc w:val="center"/>
              <w:rPr>
                <w:b/>
                <w:sz w:val="18"/>
              </w:rPr>
            </w:pPr>
            <w:r>
              <w:rPr>
                <w:b/>
                <w:spacing w:val="-2"/>
                <w:sz w:val="18"/>
              </w:rPr>
              <w:t>July2022</w:t>
            </w:r>
          </w:p>
        </w:tc>
        <w:tc>
          <w:tcPr>
            <w:tcW w:w="1277" w:type="dxa"/>
            <w:tcBorders>
              <w:top w:val="nil"/>
              <w:left w:val="nil"/>
              <w:bottom w:val="nil"/>
              <w:right w:val="nil"/>
            </w:tcBorders>
            <w:shd w:val="clear" w:color="auto" w:fill="5B9BD4"/>
          </w:tcPr>
          <w:p>
            <w:pPr>
              <w:pStyle w:val="TableParagraph"/>
              <w:spacing w:line="240" w:lineRule="auto" w:before="12"/>
              <w:ind w:left="270" w:right="260"/>
              <w:jc w:val="center"/>
              <w:rPr>
                <w:b/>
                <w:sz w:val="18"/>
              </w:rPr>
            </w:pPr>
            <w:r>
              <w:rPr>
                <w:b/>
                <w:sz w:val="18"/>
              </w:rPr>
              <w:t>Aug</w:t>
            </w:r>
            <w:r>
              <w:rPr>
                <w:b/>
                <w:spacing w:val="-4"/>
                <w:sz w:val="18"/>
              </w:rPr>
              <w:t> 2022</w:t>
            </w:r>
          </w:p>
        </w:tc>
        <w:tc>
          <w:tcPr>
            <w:tcW w:w="1246" w:type="dxa"/>
            <w:tcBorders>
              <w:top w:val="nil"/>
              <w:left w:val="nil"/>
              <w:bottom w:val="nil"/>
              <w:right w:val="nil"/>
            </w:tcBorders>
            <w:shd w:val="clear" w:color="auto" w:fill="5B9BD4"/>
          </w:tcPr>
          <w:p>
            <w:pPr>
              <w:pStyle w:val="TableParagraph"/>
              <w:spacing w:line="240" w:lineRule="auto" w:before="12"/>
              <w:ind w:left="285"/>
              <w:rPr>
                <w:b/>
                <w:sz w:val="18"/>
              </w:rPr>
            </w:pPr>
            <w:r>
              <w:rPr>
                <w:b/>
                <w:sz w:val="18"/>
              </w:rPr>
              <w:t>Sep</w:t>
            </w:r>
            <w:r>
              <w:rPr>
                <w:b/>
                <w:spacing w:val="-7"/>
                <w:sz w:val="18"/>
              </w:rPr>
              <w:t> </w:t>
            </w:r>
            <w:r>
              <w:rPr>
                <w:b/>
                <w:spacing w:val="-4"/>
                <w:sz w:val="18"/>
              </w:rPr>
              <w:t>2022</w:t>
            </w:r>
          </w:p>
        </w:tc>
        <w:tc>
          <w:tcPr>
            <w:tcW w:w="972" w:type="dxa"/>
            <w:tcBorders>
              <w:top w:val="nil"/>
              <w:left w:val="nil"/>
              <w:bottom w:val="nil"/>
              <w:right w:val="nil"/>
            </w:tcBorders>
            <w:shd w:val="clear" w:color="auto" w:fill="5B9BD4"/>
          </w:tcPr>
          <w:p>
            <w:pPr>
              <w:pStyle w:val="TableParagraph"/>
              <w:spacing w:line="240" w:lineRule="auto" w:before="12"/>
              <w:ind w:left="211" w:right="203"/>
              <w:jc w:val="center"/>
              <w:rPr>
                <w:b/>
                <w:sz w:val="18"/>
              </w:rPr>
            </w:pPr>
            <w:r>
              <w:rPr>
                <w:b/>
                <w:spacing w:val="-2"/>
                <w:sz w:val="18"/>
              </w:rPr>
              <w:t>Source</w:t>
            </w:r>
          </w:p>
        </w:tc>
      </w:tr>
      <w:tr>
        <w:trPr>
          <w:trHeight w:val="309" w:hRule="atLeast"/>
        </w:trPr>
        <w:tc>
          <w:tcPr>
            <w:tcW w:w="3425" w:type="dxa"/>
            <w:tcBorders>
              <w:top w:val="nil"/>
            </w:tcBorders>
          </w:tcPr>
          <w:p>
            <w:pPr>
              <w:pStyle w:val="TableParagraph"/>
              <w:ind w:left="914"/>
              <w:rPr>
                <w:sz w:val="18"/>
              </w:rPr>
            </w:pPr>
            <w:r>
              <w:rPr>
                <w:sz w:val="18"/>
              </w:rPr>
              <w:t>National</w:t>
            </w:r>
            <w:r>
              <w:rPr>
                <w:spacing w:val="-4"/>
                <w:sz w:val="18"/>
              </w:rPr>
              <w:t> </w:t>
            </w:r>
            <w:r>
              <w:rPr>
                <w:sz w:val="18"/>
              </w:rPr>
              <w:t>Inflation</w:t>
            </w:r>
            <w:r>
              <w:rPr>
                <w:spacing w:val="-2"/>
                <w:sz w:val="18"/>
              </w:rPr>
              <w:t> </w:t>
            </w:r>
            <w:r>
              <w:rPr>
                <w:spacing w:val="-5"/>
                <w:sz w:val="18"/>
              </w:rPr>
              <w:t>(%)</w:t>
            </w:r>
          </w:p>
        </w:tc>
        <w:tc>
          <w:tcPr>
            <w:tcW w:w="1186" w:type="dxa"/>
            <w:tcBorders>
              <w:top w:val="nil"/>
            </w:tcBorders>
          </w:tcPr>
          <w:p>
            <w:pPr>
              <w:pStyle w:val="TableParagraph"/>
              <w:ind w:left="93" w:right="85"/>
              <w:jc w:val="center"/>
              <w:rPr>
                <w:sz w:val="18"/>
              </w:rPr>
            </w:pPr>
            <w:r>
              <w:rPr>
                <w:spacing w:val="-4"/>
                <w:sz w:val="18"/>
              </w:rPr>
              <w:t>14.3</w:t>
            </w:r>
          </w:p>
        </w:tc>
        <w:tc>
          <w:tcPr>
            <w:tcW w:w="1277" w:type="dxa"/>
            <w:tcBorders>
              <w:top w:val="nil"/>
            </w:tcBorders>
          </w:tcPr>
          <w:p>
            <w:pPr>
              <w:pStyle w:val="TableParagraph"/>
              <w:ind w:left="138" w:right="130"/>
              <w:jc w:val="center"/>
              <w:rPr>
                <w:sz w:val="18"/>
              </w:rPr>
            </w:pPr>
            <w:r>
              <w:rPr>
                <w:spacing w:val="-4"/>
                <w:sz w:val="18"/>
              </w:rPr>
              <w:t>14.6</w:t>
            </w:r>
          </w:p>
        </w:tc>
        <w:tc>
          <w:tcPr>
            <w:tcW w:w="1246" w:type="dxa"/>
            <w:tcBorders>
              <w:top w:val="nil"/>
            </w:tcBorders>
          </w:tcPr>
          <w:p>
            <w:pPr>
              <w:pStyle w:val="TableParagraph"/>
              <w:ind w:left="453" w:right="443"/>
              <w:jc w:val="center"/>
              <w:rPr>
                <w:sz w:val="18"/>
              </w:rPr>
            </w:pPr>
            <w:r>
              <w:rPr>
                <w:spacing w:val="-4"/>
                <w:sz w:val="18"/>
              </w:rPr>
              <w:t>13.8</w:t>
            </w:r>
          </w:p>
        </w:tc>
        <w:tc>
          <w:tcPr>
            <w:tcW w:w="972" w:type="dxa"/>
            <w:tcBorders>
              <w:top w:val="nil"/>
            </w:tcBorders>
          </w:tcPr>
          <w:p>
            <w:pPr>
              <w:pStyle w:val="TableParagraph"/>
              <w:ind w:left="162" w:right="153"/>
              <w:jc w:val="center"/>
              <w:rPr>
                <w:sz w:val="18"/>
              </w:rPr>
            </w:pPr>
            <w:r>
              <w:rPr>
                <w:spacing w:val="-5"/>
                <w:sz w:val="18"/>
              </w:rPr>
              <w:t>StB</w:t>
            </w:r>
          </w:p>
        </w:tc>
      </w:tr>
      <w:tr>
        <w:trPr>
          <w:trHeight w:val="311" w:hRule="atLeast"/>
        </w:trPr>
        <w:tc>
          <w:tcPr>
            <w:tcW w:w="3425" w:type="dxa"/>
            <w:shd w:val="clear" w:color="auto" w:fill="DEEAF6"/>
          </w:tcPr>
          <w:p>
            <w:pPr>
              <w:pStyle w:val="TableParagraph"/>
              <w:spacing w:line="204" w:lineRule="exact"/>
              <w:ind w:left="1048"/>
              <w:rPr>
                <w:sz w:val="18"/>
              </w:rPr>
            </w:pPr>
            <w:r>
              <w:rPr>
                <w:sz w:val="18"/>
              </w:rPr>
              <w:t>Core</w:t>
            </w:r>
            <w:r>
              <w:rPr>
                <w:spacing w:val="-1"/>
                <w:sz w:val="18"/>
              </w:rPr>
              <w:t> </w:t>
            </w:r>
            <w:r>
              <w:rPr>
                <w:sz w:val="18"/>
              </w:rPr>
              <w:t>Inflation</w:t>
            </w:r>
            <w:r>
              <w:rPr>
                <w:spacing w:val="1"/>
                <w:sz w:val="18"/>
              </w:rPr>
              <w:t> </w:t>
            </w:r>
            <w:r>
              <w:rPr>
                <w:spacing w:val="-5"/>
                <w:sz w:val="18"/>
              </w:rPr>
              <w:t>(%)</w:t>
            </w:r>
          </w:p>
        </w:tc>
        <w:tc>
          <w:tcPr>
            <w:tcW w:w="1186" w:type="dxa"/>
            <w:shd w:val="clear" w:color="auto" w:fill="DEEAF6"/>
          </w:tcPr>
          <w:p>
            <w:pPr>
              <w:pStyle w:val="TableParagraph"/>
              <w:spacing w:line="204" w:lineRule="exact"/>
              <w:ind w:left="95" w:right="85"/>
              <w:jc w:val="center"/>
              <w:rPr>
                <w:sz w:val="18"/>
              </w:rPr>
            </w:pPr>
            <w:r>
              <w:rPr>
                <w:spacing w:val="-5"/>
                <w:sz w:val="18"/>
              </w:rPr>
              <w:t>7.6</w:t>
            </w:r>
          </w:p>
        </w:tc>
        <w:tc>
          <w:tcPr>
            <w:tcW w:w="1277" w:type="dxa"/>
            <w:shd w:val="clear" w:color="auto" w:fill="DEEAF6"/>
          </w:tcPr>
          <w:p>
            <w:pPr>
              <w:pStyle w:val="TableParagraph"/>
              <w:spacing w:line="204" w:lineRule="exact"/>
              <w:ind w:left="140" w:right="130"/>
              <w:jc w:val="center"/>
              <w:rPr>
                <w:sz w:val="18"/>
              </w:rPr>
            </w:pPr>
            <w:r>
              <w:rPr>
                <w:spacing w:val="-5"/>
                <w:sz w:val="18"/>
              </w:rPr>
              <w:t>8.0</w:t>
            </w:r>
          </w:p>
        </w:tc>
        <w:tc>
          <w:tcPr>
            <w:tcW w:w="1246" w:type="dxa"/>
            <w:shd w:val="clear" w:color="auto" w:fill="DEEAF6"/>
          </w:tcPr>
          <w:p>
            <w:pPr>
              <w:pStyle w:val="TableParagraph"/>
              <w:spacing w:line="204" w:lineRule="exact"/>
              <w:ind w:left="453" w:right="443"/>
              <w:jc w:val="center"/>
              <w:rPr>
                <w:sz w:val="18"/>
              </w:rPr>
            </w:pPr>
            <w:r>
              <w:rPr>
                <w:spacing w:val="-4"/>
                <w:sz w:val="18"/>
              </w:rPr>
              <w:t>11.4</w:t>
            </w:r>
          </w:p>
        </w:tc>
        <w:tc>
          <w:tcPr>
            <w:tcW w:w="972" w:type="dxa"/>
            <w:shd w:val="clear" w:color="auto" w:fill="DEEAF6"/>
          </w:tcPr>
          <w:p>
            <w:pPr>
              <w:pStyle w:val="TableParagraph"/>
              <w:spacing w:line="204" w:lineRule="exact"/>
              <w:ind w:left="162" w:right="153"/>
              <w:jc w:val="center"/>
              <w:rPr>
                <w:sz w:val="18"/>
              </w:rPr>
            </w:pPr>
            <w:r>
              <w:rPr>
                <w:spacing w:val="-5"/>
                <w:sz w:val="18"/>
              </w:rPr>
              <w:t>StB</w:t>
            </w:r>
          </w:p>
        </w:tc>
      </w:tr>
      <w:tr>
        <w:trPr>
          <w:trHeight w:val="311" w:hRule="atLeast"/>
        </w:trPr>
        <w:tc>
          <w:tcPr>
            <w:tcW w:w="3425" w:type="dxa"/>
          </w:tcPr>
          <w:p>
            <w:pPr>
              <w:pStyle w:val="TableParagraph"/>
              <w:spacing w:line="207" w:lineRule="exact"/>
              <w:rPr>
                <w:b/>
                <w:sz w:val="18"/>
              </w:rPr>
            </w:pPr>
            <w:r>
              <w:rPr>
                <w:b/>
                <w:sz w:val="18"/>
              </w:rPr>
              <w:t>Exchange</w:t>
            </w:r>
            <w:r>
              <w:rPr>
                <w:b/>
                <w:spacing w:val="-8"/>
                <w:sz w:val="18"/>
              </w:rPr>
              <w:t> </w:t>
            </w:r>
            <w:r>
              <w:rPr>
                <w:b/>
                <w:spacing w:val="-2"/>
                <w:sz w:val="18"/>
              </w:rPr>
              <w:t>Rates</w:t>
            </w:r>
          </w:p>
        </w:tc>
        <w:tc>
          <w:tcPr>
            <w:tcW w:w="1186" w:type="dxa"/>
          </w:tcPr>
          <w:p>
            <w:pPr>
              <w:pStyle w:val="TableParagraph"/>
              <w:spacing w:line="207" w:lineRule="exact"/>
              <w:ind w:left="95" w:right="85"/>
              <w:jc w:val="center"/>
              <w:rPr>
                <w:b/>
                <w:sz w:val="18"/>
              </w:rPr>
            </w:pPr>
            <w:r>
              <w:rPr>
                <w:b/>
                <w:sz w:val="18"/>
              </w:rPr>
              <w:t>July</w:t>
            </w:r>
            <w:r>
              <w:rPr>
                <w:b/>
                <w:spacing w:val="-3"/>
                <w:sz w:val="18"/>
              </w:rPr>
              <w:t> </w:t>
            </w:r>
            <w:r>
              <w:rPr>
                <w:b/>
                <w:spacing w:val="-4"/>
                <w:sz w:val="18"/>
              </w:rPr>
              <w:t>2022</w:t>
            </w:r>
          </w:p>
        </w:tc>
        <w:tc>
          <w:tcPr>
            <w:tcW w:w="1277" w:type="dxa"/>
          </w:tcPr>
          <w:p>
            <w:pPr>
              <w:pStyle w:val="TableParagraph"/>
              <w:spacing w:line="207" w:lineRule="exact"/>
              <w:ind w:left="140" w:right="130"/>
              <w:jc w:val="center"/>
              <w:rPr>
                <w:b/>
                <w:sz w:val="18"/>
              </w:rPr>
            </w:pPr>
            <w:r>
              <w:rPr>
                <w:b/>
                <w:sz w:val="18"/>
              </w:rPr>
              <w:t>Aug</w:t>
            </w:r>
            <w:r>
              <w:rPr>
                <w:b/>
                <w:spacing w:val="-4"/>
                <w:sz w:val="18"/>
              </w:rPr>
              <w:t> 2022</w:t>
            </w:r>
          </w:p>
        </w:tc>
        <w:tc>
          <w:tcPr>
            <w:tcW w:w="1246" w:type="dxa"/>
          </w:tcPr>
          <w:p>
            <w:pPr>
              <w:pStyle w:val="TableParagraph"/>
              <w:spacing w:line="207" w:lineRule="exact"/>
              <w:ind w:left="280"/>
              <w:rPr>
                <w:b/>
                <w:sz w:val="18"/>
              </w:rPr>
            </w:pPr>
            <w:r>
              <w:rPr>
                <w:b/>
                <w:sz w:val="18"/>
              </w:rPr>
              <w:t>Sep</w:t>
            </w:r>
            <w:r>
              <w:rPr>
                <w:b/>
                <w:spacing w:val="-7"/>
                <w:sz w:val="18"/>
              </w:rPr>
              <w:t> </w:t>
            </w:r>
            <w:r>
              <w:rPr>
                <w:b/>
                <w:spacing w:val="-4"/>
                <w:sz w:val="18"/>
              </w:rPr>
              <w:t>2022</w:t>
            </w:r>
          </w:p>
        </w:tc>
        <w:tc>
          <w:tcPr>
            <w:tcW w:w="972" w:type="dxa"/>
          </w:tcPr>
          <w:p>
            <w:pPr>
              <w:pStyle w:val="TableParagraph"/>
              <w:spacing w:line="240" w:lineRule="auto"/>
              <w:ind w:left="0"/>
              <w:rPr>
                <w:sz w:val="18"/>
              </w:rPr>
            </w:pPr>
          </w:p>
        </w:tc>
      </w:tr>
      <w:tr>
        <w:trPr>
          <w:trHeight w:val="309" w:hRule="atLeast"/>
        </w:trPr>
        <w:tc>
          <w:tcPr>
            <w:tcW w:w="3425" w:type="dxa"/>
            <w:shd w:val="clear" w:color="auto" w:fill="DEEAF6"/>
          </w:tcPr>
          <w:p>
            <w:pPr>
              <w:pStyle w:val="TableParagraph"/>
              <w:ind w:left="1151" w:right="1138"/>
              <w:jc w:val="center"/>
              <w:rPr>
                <w:sz w:val="18"/>
              </w:rPr>
            </w:pPr>
            <w:r>
              <w:rPr>
                <w:sz w:val="18"/>
              </w:rPr>
              <w:t>Rand</w:t>
            </w:r>
            <w:r>
              <w:rPr>
                <w:spacing w:val="1"/>
                <w:sz w:val="18"/>
              </w:rPr>
              <w:t> </w:t>
            </w:r>
            <w:r>
              <w:rPr>
                <w:spacing w:val="-2"/>
                <w:sz w:val="18"/>
              </w:rPr>
              <w:t>(R/P)</w:t>
            </w:r>
          </w:p>
        </w:tc>
        <w:tc>
          <w:tcPr>
            <w:tcW w:w="1186" w:type="dxa"/>
            <w:shd w:val="clear" w:color="auto" w:fill="DEEAF6"/>
          </w:tcPr>
          <w:p>
            <w:pPr>
              <w:pStyle w:val="TableParagraph"/>
              <w:ind w:left="95" w:right="85"/>
              <w:jc w:val="center"/>
              <w:rPr>
                <w:sz w:val="18"/>
              </w:rPr>
            </w:pPr>
            <w:r>
              <w:rPr>
                <w:spacing w:val="-2"/>
                <w:sz w:val="18"/>
              </w:rPr>
              <w:t>1.3161</w:t>
            </w:r>
          </w:p>
        </w:tc>
        <w:tc>
          <w:tcPr>
            <w:tcW w:w="1277" w:type="dxa"/>
            <w:shd w:val="clear" w:color="auto" w:fill="DEEAF6"/>
          </w:tcPr>
          <w:p>
            <w:pPr>
              <w:pStyle w:val="TableParagraph"/>
              <w:ind w:left="140" w:right="130"/>
              <w:jc w:val="center"/>
              <w:rPr>
                <w:sz w:val="18"/>
              </w:rPr>
            </w:pPr>
            <w:r>
              <w:rPr>
                <w:spacing w:val="-2"/>
                <w:sz w:val="18"/>
              </w:rPr>
              <w:t>1.3208</w:t>
            </w:r>
          </w:p>
        </w:tc>
        <w:tc>
          <w:tcPr>
            <w:tcW w:w="1246" w:type="dxa"/>
            <w:shd w:val="clear" w:color="auto" w:fill="DEEAF6"/>
          </w:tcPr>
          <w:p>
            <w:pPr>
              <w:pStyle w:val="TableParagraph"/>
              <w:ind w:left="374"/>
              <w:rPr>
                <w:sz w:val="18"/>
              </w:rPr>
            </w:pPr>
            <w:r>
              <w:rPr>
                <w:spacing w:val="-2"/>
                <w:sz w:val="18"/>
              </w:rPr>
              <w:t>1.3404</w:t>
            </w:r>
          </w:p>
        </w:tc>
        <w:tc>
          <w:tcPr>
            <w:tcW w:w="972" w:type="dxa"/>
            <w:shd w:val="clear" w:color="auto" w:fill="DEEAF6"/>
          </w:tcPr>
          <w:p>
            <w:pPr>
              <w:pStyle w:val="TableParagraph"/>
              <w:ind w:left="160" w:right="153"/>
              <w:jc w:val="center"/>
              <w:rPr>
                <w:sz w:val="18"/>
              </w:rPr>
            </w:pPr>
            <w:r>
              <w:rPr>
                <w:spacing w:val="-5"/>
                <w:sz w:val="18"/>
              </w:rPr>
              <w:t>BoB</w:t>
            </w:r>
          </w:p>
        </w:tc>
      </w:tr>
      <w:tr>
        <w:trPr>
          <w:trHeight w:val="311" w:hRule="atLeast"/>
        </w:trPr>
        <w:tc>
          <w:tcPr>
            <w:tcW w:w="3425" w:type="dxa"/>
          </w:tcPr>
          <w:p>
            <w:pPr>
              <w:pStyle w:val="TableParagraph"/>
              <w:ind w:left="1151" w:right="1139"/>
              <w:jc w:val="center"/>
              <w:rPr>
                <w:sz w:val="18"/>
              </w:rPr>
            </w:pPr>
            <w:r>
              <w:rPr>
                <w:sz w:val="18"/>
              </w:rPr>
              <w:t>US</w:t>
            </w:r>
            <w:r>
              <w:rPr>
                <w:spacing w:val="-3"/>
                <w:sz w:val="18"/>
              </w:rPr>
              <w:t> </w:t>
            </w:r>
            <w:r>
              <w:rPr>
                <w:sz w:val="18"/>
              </w:rPr>
              <w:t>dollar</w:t>
            </w:r>
            <w:r>
              <w:rPr>
                <w:spacing w:val="-2"/>
                <w:sz w:val="18"/>
              </w:rPr>
              <w:t> ($/P)</w:t>
            </w:r>
          </w:p>
        </w:tc>
        <w:tc>
          <w:tcPr>
            <w:tcW w:w="1186" w:type="dxa"/>
          </w:tcPr>
          <w:p>
            <w:pPr>
              <w:pStyle w:val="TableParagraph"/>
              <w:ind w:left="95" w:right="85"/>
              <w:jc w:val="center"/>
              <w:rPr>
                <w:sz w:val="18"/>
              </w:rPr>
            </w:pPr>
            <w:r>
              <w:rPr>
                <w:spacing w:val="-2"/>
                <w:sz w:val="18"/>
              </w:rPr>
              <w:t>0.0801</w:t>
            </w:r>
          </w:p>
        </w:tc>
        <w:tc>
          <w:tcPr>
            <w:tcW w:w="1277" w:type="dxa"/>
          </w:tcPr>
          <w:p>
            <w:pPr>
              <w:pStyle w:val="TableParagraph"/>
              <w:ind w:left="140" w:right="130"/>
              <w:jc w:val="center"/>
              <w:rPr>
                <w:sz w:val="18"/>
              </w:rPr>
            </w:pPr>
            <w:r>
              <w:rPr>
                <w:spacing w:val="-2"/>
                <w:sz w:val="18"/>
              </w:rPr>
              <w:t>0.0791</w:t>
            </w:r>
          </w:p>
        </w:tc>
        <w:tc>
          <w:tcPr>
            <w:tcW w:w="1246" w:type="dxa"/>
          </w:tcPr>
          <w:p>
            <w:pPr>
              <w:pStyle w:val="TableParagraph"/>
              <w:ind w:left="374"/>
              <w:rPr>
                <w:sz w:val="18"/>
              </w:rPr>
            </w:pPr>
            <w:r>
              <w:rPr>
                <w:spacing w:val="-2"/>
                <w:sz w:val="18"/>
              </w:rPr>
              <w:t>0.0764</w:t>
            </w:r>
          </w:p>
        </w:tc>
        <w:tc>
          <w:tcPr>
            <w:tcW w:w="972" w:type="dxa"/>
          </w:tcPr>
          <w:p>
            <w:pPr>
              <w:pStyle w:val="TableParagraph"/>
              <w:ind w:left="160" w:right="153"/>
              <w:jc w:val="center"/>
              <w:rPr>
                <w:sz w:val="18"/>
              </w:rPr>
            </w:pPr>
            <w:r>
              <w:rPr>
                <w:spacing w:val="-5"/>
                <w:sz w:val="18"/>
              </w:rPr>
              <w:t>BoB</w:t>
            </w:r>
          </w:p>
        </w:tc>
      </w:tr>
      <w:tr>
        <w:trPr>
          <w:trHeight w:val="309" w:hRule="atLeast"/>
        </w:trPr>
        <w:tc>
          <w:tcPr>
            <w:tcW w:w="3425" w:type="dxa"/>
            <w:shd w:val="clear" w:color="auto" w:fill="DEEAF6"/>
          </w:tcPr>
          <w:p>
            <w:pPr>
              <w:pStyle w:val="TableParagraph"/>
              <w:ind w:left="1149" w:right="1139"/>
              <w:jc w:val="center"/>
              <w:rPr>
                <w:sz w:val="18"/>
              </w:rPr>
            </w:pPr>
            <w:r>
              <w:rPr>
                <w:sz w:val="18"/>
              </w:rPr>
              <w:t>Euro </w:t>
            </w:r>
            <w:r>
              <w:rPr>
                <w:spacing w:val="-2"/>
                <w:sz w:val="18"/>
              </w:rPr>
              <w:t>(£/P)</w:t>
            </w:r>
          </w:p>
        </w:tc>
        <w:tc>
          <w:tcPr>
            <w:tcW w:w="1186" w:type="dxa"/>
            <w:shd w:val="clear" w:color="auto" w:fill="DEEAF6"/>
          </w:tcPr>
          <w:p>
            <w:pPr>
              <w:pStyle w:val="TableParagraph"/>
              <w:ind w:left="95" w:right="85"/>
              <w:jc w:val="center"/>
              <w:rPr>
                <w:sz w:val="18"/>
              </w:rPr>
            </w:pPr>
            <w:r>
              <w:rPr>
                <w:spacing w:val="-2"/>
                <w:sz w:val="18"/>
              </w:rPr>
              <w:t>0.0782</w:t>
            </w:r>
          </w:p>
        </w:tc>
        <w:tc>
          <w:tcPr>
            <w:tcW w:w="1277" w:type="dxa"/>
            <w:shd w:val="clear" w:color="auto" w:fill="DEEAF6"/>
          </w:tcPr>
          <w:p>
            <w:pPr>
              <w:pStyle w:val="TableParagraph"/>
              <w:ind w:left="140" w:right="130"/>
              <w:jc w:val="center"/>
              <w:rPr>
                <w:sz w:val="18"/>
              </w:rPr>
            </w:pPr>
            <w:r>
              <w:rPr>
                <w:spacing w:val="-2"/>
                <w:sz w:val="18"/>
              </w:rPr>
              <w:t>0.0781</w:t>
            </w:r>
          </w:p>
        </w:tc>
        <w:tc>
          <w:tcPr>
            <w:tcW w:w="1246" w:type="dxa"/>
            <w:shd w:val="clear" w:color="auto" w:fill="DEEAF6"/>
          </w:tcPr>
          <w:p>
            <w:pPr>
              <w:pStyle w:val="TableParagraph"/>
              <w:ind w:left="374"/>
              <w:rPr>
                <w:sz w:val="18"/>
              </w:rPr>
            </w:pPr>
            <w:r>
              <w:rPr>
                <w:spacing w:val="-2"/>
                <w:sz w:val="18"/>
              </w:rPr>
              <w:t>0.0771</w:t>
            </w:r>
          </w:p>
        </w:tc>
        <w:tc>
          <w:tcPr>
            <w:tcW w:w="972" w:type="dxa"/>
            <w:shd w:val="clear" w:color="auto" w:fill="DEEAF6"/>
          </w:tcPr>
          <w:p>
            <w:pPr>
              <w:pStyle w:val="TableParagraph"/>
              <w:ind w:left="160" w:right="153"/>
              <w:jc w:val="center"/>
              <w:rPr>
                <w:sz w:val="18"/>
              </w:rPr>
            </w:pPr>
            <w:r>
              <w:rPr>
                <w:spacing w:val="-5"/>
                <w:sz w:val="18"/>
              </w:rPr>
              <w:t>BoB</w:t>
            </w:r>
          </w:p>
        </w:tc>
      </w:tr>
      <w:tr>
        <w:trPr>
          <w:trHeight w:val="311" w:hRule="atLeast"/>
        </w:trPr>
        <w:tc>
          <w:tcPr>
            <w:tcW w:w="3425" w:type="dxa"/>
          </w:tcPr>
          <w:p>
            <w:pPr>
              <w:pStyle w:val="TableParagraph"/>
              <w:ind w:left="1149" w:right="1139"/>
              <w:jc w:val="center"/>
              <w:rPr>
                <w:sz w:val="18"/>
              </w:rPr>
            </w:pPr>
            <w:r>
              <w:rPr>
                <w:sz w:val="18"/>
              </w:rPr>
              <w:t>SDR</w:t>
            </w:r>
            <w:r>
              <w:rPr>
                <w:spacing w:val="-4"/>
                <w:sz w:val="18"/>
              </w:rPr>
              <w:t> </w:t>
            </w:r>
            <w:r>
              <w:rPr>
                <w:spacing w:val="-2"/>
                <w:sz w:val="18"/>
              </w:rPr>
              <w:t>(SDR/P)</w:t>
            </w:r>
          </w:p>
        </w:tc>
        <w:tc>
          <w:tcPr>
            <w:tcW w:w="1186" w:type="dxa"/>
          </w:tcPr>
          <w:p>
            <w:pPr>
              <w:pStyle w:val="TableParagraph"/>
              <w:ind w:left="95" w:right="85"/>
              <w:jc w:val="center"/>
              <w:rPr>
                <w:sz w:val="18"/>
              </w:rPr>
            </w:pPr>
            <w:r>
              <w:rPr>
                <w:spacing w:val="-2"/>
                <w:sz w:val="18"/>
              </w:rPr>
              <w:t>0.0605</w:t>
            </w:r>
          </w:p>
        </w:tc>
        <w:tc>
          <w:tcPr>
            <w:tcW w:w="1277" w:type="dxa"/>
          </w:tcPr>
          <w:p>
            <w:pPr>
              <w:pStyle w:val="TableParagraph"/>
              <w:ind w:left="140" w:right="130"/>
              <w:jc w:val="center"/>
              <w:rPr>
                <w:sz w:val="18"/>
              </w:rPr>
            </w:pPr>
            <w:r>
              <w:rPr>
                <w:spacing w:val="-2"/>
                <w:sz w:val="18"/>
              </w:rPr>
              <w:t>0.0602</w:t>
            </w:r>
          </w:p>
        </w:tc>
        <w:tc>
          <w:tcPr>
            <w:tcW w:w="1246" w:type="dxa"/>
          </w:tcPr>
          <w:p>
            <w:pPr>
              <w:pStyle w:val="TableParagraph"/>
              <w:ind w:left="374"/>
              <w:rPr>
                <w:sz w:val="18"/>
              </w:rPr>
            </w:pPr>
            <w:r>
              <w:rPr>
                <w:spacing w:val="-2"/>
                <w:sz w:val="18"/>
              </w:rPr>
              <w:t>0.0592</w:t>
            </w:r>
          </w:p>
        </w:tc>
        <w:tc>
          <w:tcPr>
            <w:tcW w:w="972" w:type="dxa"/>
          </w:tcPr>
          <w:p>
            <w:pPr>
              <w:pStyle w:val="TableParagraph"/>
              <w:ind w:left="160" w:right="153"/>
              <w:jc w:val="center"/>
              <w:rPr>
                <w:sz w:val="18"/>
              </w:rPr>
            </w:pPr>
            <w:r>
              <w:rPr>
                <w:spacing w:val="-5"/>
                <w:sz w:val="18"/>
              </w:rPr>
              <w:t>BoB</w:t>
            </w:r>
          </w:p>
        </w:tc>
      </w:tr>
      <w:tr>
        <w:trPr>
          <w:trHeight w:val="309" w:hRule="atLeast"/>
        </w:trPr>
        <w:tc>
          <w:tcPr>
            <w:tcW w:w="3425" w:type="dxa"/>
            <w:shd w:val="clear" w:color="auto" w:fill="DEEAF6"/>
          </w:tcPr>
          <w:p>
            <w:pPr>
              <w:pStyle w:val="TableParagraph"/>
              <w:spacing w:line="207" w:lineRule="exact"/>
              <w:rPr>
                <w:b/>
                <w:sz w:val="18"/>
              </w:rPr>
            </w:pPr>
            <w:r>
              <w:rPr>
                <w:b/>
                <w:sz w:val="18"/>
              </w:rPr>
              <w:t>International</w:t>
            </w:r>
            <w:r>
              <w:rPr>
                <w:b/>
                <w:spacing w:val="-6"/>
                <w:sz w:val="18"/>
              </w:rPr>
              <w:t> </w:t>
            </w:r>
            <w:r>
              <w:rPr>
                <w:b/>
                <w:sz w:val="18"/>
              </w:rPr>
              <w:t>Merchandise</w:t>
            </w:r>
            <w:r>
              <w:rPr>
                <w:b/>
                <w:spacing w:val="-7"/>
                <w:sz w:val="18"/>
              </w:rPr>
              <w:t> </w:t>
            </w:r>
            <w:r>
              <w:rPr>
                <w:b/>
                <w:sz w:val="18"/>
              </w:rPr>
              <w:t>Trade</w:t>
            </w:r>
            <w:r>
              <w:rPr>
                <w:b/>
                <w:spacing w:val="-6"/>
                <w:sz w:val="18"/>
              </w:rPr>
              <w:t> </w:t>
            </w:r>
            <w:r>
              <w:rPr>
                <w:b/>
                <w:sz w:val="18"/>
              </w:rPr>
              <w:t>(P</w:t>
            </w:r>
            <w:r>
              <w:rPr>
                <w:b/>
                <w:spacing w:val="-3"/>
                <w:sz w:val="18"/>
              </w:rPr>
              <w:t> </w:t>
            </w:r>
            <w:r>
              <w:rPr>
                <w:b/>
                <w:spacing w:val="-4"/>
                <w:sz w:val="18"/>
              </w:rPr>
              <w:t>mn)</w:t>
            </w:r>
            <w:r>
              <w:rPr>
                <w:b/>
                <w:spacing w:val="-4"/>
                <w:sz w:val="18"/>
                <w:vertAlign w:val="superscript"/>
              </w:rPr>
              <w:t>3</w:t>
            </w:r>
          </w:p>
        </w:tc>
        <w:tc>
          <w:tcPr>
            <w:tcW w:w="1186" w:type="dxa"/>
            <w:shd w:val="clear" w:color="auto" w:fill="DEEAF6"/>
          </w:tcPr>
          <w:p>
            <w:pPr>
              <w:pStyle w:val="TableParagraph"/>
              <w:spacing w:line="207" w:lineRule="exact"/>
              <w:ind w:left="93" w:right="85"/>
              <w:jc w:val="center"/>
              <w:rPr>
                <w:b/>
                <w:sz w:val="18"/>
              </w:rPr>
            </w:pPr>
            <w:r>
              <w:rPr>
                <w:b/>
                <w:sz w:val="18"/>
              </w:rPr>
              <w:t>June</w:t>
            </w:r>
            <w:r>
              <w:rPr>
                <w:b/>
                <w:spacing w:val="-8"/>
                <w:sz w:val="18"/>
              </w:rPr>
              <w:t> </w:t>
            </w:r>
            <w:r>
              <w:rPr>
                <w:b/>
                <w:spacing w:val="-4"/>
                <w:sz w:val="18"/>
              </w:rPr>
              <w:t>2022</w:t>
            </w:r>
          </w:p>
        </w:tc>
        <w:tc>
          <w:tcPr>
            <w:tcW w:w="1277" w:type="dxa"/>
            <w:shd w:val="clear" w:color="auto" w:fill="DEEAF6"/>
          </w:tcPr>
          <w:p>
            <w:pPr>
              <w:pStyle w:val="TableParagraph"/>
              <w:spacing w:line="207" w:lineRule="exact"/>
              <w:ind w:left="140" w:right="130"/>
              <w:jc w:val="center"/>
              <w:rPr>
                <w:b/>
                <w:sz w:val="18"/>
              </w:rPr>
            </w:pPr>
            <w:r>
              <w:rPr>
                <w:b/>
                <w:sz w:val="18"/>
              </w:rPr>
              <w:t>July</w:t>
            </w:r>
            <w:r>
              <w:rPr>
                <w:b/>
                <w:spacing w:val="-3"/>
                <w:sz w:val="18"/>
              </w:rPr>
              <w:t> </w:t>
            </w:r>
            <w:r>
              <w:rPr>
                <w:b/>
                <w:spacing w:val="-4"/>
                <w:sz w:val="18"/>
              </w:rPr>
              <w:t>2022</w:t>
            </w:r>
          </w:p>
        </w:tc>
        <w:tc>
          <w:tcPr>
            <w:tcW w:w="1246" w:type="dxa"/>
            <w:shd w:val="clear" w:color="auto" w:fill="DEEAF6"/>
          </w:tcPr>
          <w:p>
            <w:pPr>
              <w:pStyle w:val="TableParagraph"/>
              <w:spacing w:line="207" w:lineRule="exact"/>
              <w:ind w:left="167"/>
              <w:rPr>
                <w:b/>
                <w:sz w:val="18"/>
              </w:rPr>
            </w:pPr>
            <w:r>
              <w:rPr>
                <w:b/>
                <w:spacing w:val="-2"/>
                <w:sz w:val="18"/>
              </w:rPr>
              <w:t>August2022</w:t>
            </w:r>
          </w:p>
        </w:tc>
        <w:tc>
          <w:tcPr>
            <w:tcW w:w="972" w:type="dxa"/>
            <w:shd w:val="clear" w:color="auto" w:fill="DEEAF6"/>
          </w:tcPr>
          <w:p>
            <w:pPr>
              <w:pStyle w:val="TableParagraph"/>
              <w:spacing w:line="240" w:lineRule="auto"/>
              <w:ind w:left="0"/>
              <w:rPr>
                <w:sz w:val="18"/>
              </w:rPr>
            </w:pPr>
          </w:p>
        </w:tc>
      </w:tr>
      <w:tr>
        <w:trPr>
          <w:trHeight w:val="311" w:hRule="atLeast"/>
        </w:trPr>
        <w:tc>
          <w:tcPr>
            <w:tcW w:w="3425" w:type="dxa"/>
          </w:tcPr>
          <w:p>
            <w:pPr>
              <w:pStyle w:val="TableParagraph"/>
              <w:ind w:left="1089"/>
              <w:rPr>
                <w:sz w:val="18"/>
              </w:rPr>
            </w:pPr>
            <w:r>
              <w:rPr>
                <w:sz w:val="18"/>
              </w:rPr>
              <w:t>Diamond</w:t>
            </w:r>
            <w:r>
              <w:rPr>
                <w:spacing w:val="-3"/>
                <w:sz w:val="18"/>
              </w:rPr>
              <w:t> </w:t>
            </w:r>
            <w:r>
              <w:rPr>
                <w:spacing w:val="-2"/>
                <w:sz w:val="18"/>
              </w:rPr>
              <w:t>exports</w:t>
            </w:r>
          </w:p>
        </w:tc>
        <w:tc>
          <w:tcPr>
            <w:tcW w:w="1186" w:type="dxa"/>
          </w:tcPr>
          <w:p>
            <w:pPr>
              <w:pStyle w:val="TableParagraph"/>
              <w:ind w:left="93" w:right="85"/>
              <w:jc w:val="center"/>
              <w:rPr>
                <w:sz w:val="18"/>
              </w:rPr>
            </w:pPr>
            <w:r>
              <w:rPr>
                <w:spacing w:val="-2"/>
                <w:sz w:val="18"/>
              </w:rPr>
              <w:t>46,019.</w:t>
            </w:r>
          </w:p>
        </w:tc>
        <w:tc>
          <w:tcPr>
            <w:tcW w:w="1277" w:type="dxa"/>
          </w:tcPr>
          <w:p>
            <w:pPr>
              <w:pStyle w:val="TableParagraph"/>
              <w:ind w:left="140" w:right="130"/>
              <w:jc w:val="center"/>
              <w:rPr>
                <w:sz w:val="18"/>
              </w:rPr>
            </w:pPr>
            <w:r>
              <w:rPr>
                <w:spacing w:val="-2"/>
                <w:sz w:val="18"/>
              </w:rPr>
              <w:t>54,838</w:t>
            </w:r>
          </w:p>
        </w:tc>
        <w:tc>
          <w:tcPr>
            <w:tcW w:w="1246" w:type="dxa"/>
          </w:tcPr>
          <w:p>
            <w:pPr>
              <w:pStyle w:val="TableParagraph"/>
              <w:ind w:left="307"/>
              <w:rPr>
                <w:sz w:val="18"/>
              </w:rPr>
            </w:pPr>
            <w:r>
              <w:rPr>
                <w:spacing w:val="-2"/>
                <w:sz w:val="18"/>
              </w:rPr>
              <w:t>64,386.5</w:t>
            </w:r>
          </w:p>
        </w:tc>
        <w:tc>
          <w:tcPr>
            <w:tcW w:w="972" w:type="dxa"/>
          </w:tcPr>
          <w:p>
            <w:pPr>
              <w:pStyle w:val="TableParagraph"/>
              <w:ind w:left="162" w:right="153"/>
              <w:jc w:val="center"/>
              <w:rPr>
                <w:sz w:val="18"/>
              </w:rPr>
            </w:pPr>
            <w:r>
              <w:rPr>
                <w:spacing w:val="-5"/>
                <w:sz w:val="18"/>
              </w:rPr>
              <w:t>StB</w:t>
            </w:r>
          </w:p>
        </w:tc>
      </w:tr>
      <w:tr>
        <w:trPr>
          <w:trHeight w:val="309" w:hRule="atLeast"/>
        </w:trPr>
        <w:tc>
          <w:tcPr>
            <w:tcW w:w="3425" w:type="dxa"/>
            <w:shd w:val="clear" w:color="auto" w:fill="DEEAF6"/>
          </w:tcPr>
          <w:p>
            <w:pPr>
              <w:pStyle w:val="TableParagraph"/>
              <w:ind w:left="1043"/>
              <w:rPr>
                <w:sz w:val="18"/>
              </w:rPr>
            </w:pPr>
            <w:r>
              <w:rPr>
                <w:sz w:val="18"/>
              </w:rPr>
              <w:t>Live</w:t>
            </w:r>
            <w:r>
              <w:rPr>
                <w:spacing w:val="-5"/>
                <w:sz w:val="18"/>
              </w:rPr>
              <w:t> </w:t>
            </w:r>
            <w:r>
              <w:rPr>
                <w:sz w:val="18"/>
              </w:rPr>
              <w:t>cattle</w:t>
            </w:r>
            <w:r>
              <w:rPr>
                <w:spacing w:val="-1"/>
                <w:sz w:val="18"/>
              </w:rPr>
              <w:t> </w:t>
            </w:r>
            <w:r>
              <w:rPr>
                <w:spacing w:val="-2"/>
                <w:sz w:val="18"/>
              </w:rPr>
              <w:t>exports</w:t>
            </w:r>
          </w:p>
        </w:tc>
        <w:tc>
          <w:tcPr>
            <w:tcW w:w="1186" w:type="dxa"/>
            <w:shd w:val="clear" w:color="auto" w:fill="DEEAF6"/>
          </w:tcPr>
          <w:p>
            <w:pPr>
              <w:pStyle w:val="TableParagraph"/>
              <w:ind w:left="172" w:right="70"/>
              <w:jc w:val="center"/>
              <w:rPr>
                <w:sz w:val="18"/>
              </w:rPr>
            </w:pPr>
            <w:r>
              <w:rPr>
                <w:spacing w:val="-5"/>
                <w:sz w:val="18"/>
              </w:rPr>
              <w:t>677</w:t>
            </w:r>
          </w:p>
        </w:tc>
        <w:tc>
          <w:tcPr>
            <w:tcW w:w="1277" w:type="dxa"/>
            <w:shd w:val="clear" w:color="auto" w:fill="DEEAF6"/>
          </w:tcPr>
          <w:p>
            <w:pPr>
              <w:pStyle w:val="TableParagraph"/>
              <w:ind w:left="140" w:right="84"/>
              <w:jc w:val="center"/>
              <w:rPr>
                <w:sz w:val="18"/>
              </w:rPr>
            </w:pPr>
            <w:r>
              <w:rPr>
                <w:spacing w:val="-2"/>
                <w:sz w:val="18"/>
              </w:rPr>
              <w:t>774.3</w:t>
            </w:r>
          </w:p>
        </w:tc>
        <w:tc>
          <w:tcPr>
            <w:tcW w:w="1246" w:type="dxa"/>
            <w:shd w:val="clear" w:color="auto" w:fill="DEEAF6"/>
          </w:tcPr>
          <w:p>
            <w:pPr>
              <w:pStyle w:val="TableParagraph"/>
              <w:ind w:left="419"/>
              <w:rPr>
                <w:sz w:val="18"/>
              </w:rPr>
            </w:pPr>
            <w:r>
              <w:rPr>
                <w:spacing w:val="-2"/>
                <w:sz w:val="18"/>
              </w:rPr>
              <w:t>855.4</w:t>
            </w:r>
          </w:p>
        </w:tc>
        <w:tc>
          <w:tcPr>
            <w:tcW w:w="972" w:type="dxa"/>
            <w:shd w:val="clear" w:color="auto" w:fill="DEEAF6"/>
          </w:tcPr>
          <w:p>
            <w:pPr>
              <w:pStyle w:val="TableParagraph"/>
              <w:ind w:left="162" w:right="153"/>
              <w:jc w:val="center"/>
              <w:rPr>
                <w:sz w:val="18"/>
              </w:rPr>
            </w:pPr>
            <w:r>
              <w:rPr>
                <w:spacing w:val="-5"/>
                <w:sz w:val="18"/>
              </w:rPr>
              <w:t>StB</w:t>
            </w:r>
          </w:p>
        </w:tc>
      </w:tr>
      <w:tr>
        <w:trPr>
          <w:trHeight w:val="311" w:hRule="atLeast"/>
        </w:trPr>
        <w:tc>
          <w:tcPr>
            <w:tcW w:w="3425" w:type="dxa"/>
          </w:tcPr>
          <w:p>
            <w:pPr>
              <w:pStyle w:val="TableParagraph"/>
              <w:ind w:left="592"/>
              <w:rPr>
                <w:sz w:val="18"/>
              </w:rPr>
            </w:pPr>
            <w:r>
              <w:rPr>
                <w:sz w:val="18"/>
              </w:rPr>
              <w:t>Meat</w:t>
            </w:r>
            <w:r>
              <w:rPr>
                <w:spacing w:val="-3"/>
                <w:sz w:val="18"/>
              </w:rPr>
              <w:t> </w:t>
            </w:r>
            <w:r>
              <w:rPr>
                <w:sz w:val="18"/>
              </w:rPr>
              <w:t>and</w:t>
            </w:r>
            <w:r>
              <w:rPr>
                <w:spacing w:val="-1"/>
                <w:sz w:val="18"/>
              </w:rPr>
              <w:t> </w:t>
            </w:r>
            <w:r>
              <w:rPr>
                <w:sz w:val="18"/>
              </w:rPr>
              <w:t>meat</w:t>
            </w:r>
            <w:r>
              <w:rPr>
                <w:spacing w:val="-3"/>
                <w:sz w:val="18"/>
              </w:rPr>
              <w:t> </w:t>
            </w:r>
            <w:r>
              <w:rPr>
                <w:sz w:val="18"/>
              </w:rPr>
              <w:t>product</w:t>
            </w:r>
            <w:r>
              <w:rPr>
                <w:spacing w:val="-2"/>
                <w:sz w:val="18"/>
              </w:rPr>
              <w:t> exports</w:t>
            </w:r>
          </w:p>
        </w:tc>
        <w:tc>
          <w:tcPr>
            <w:tcW w:w="1186" w:type="dxa"/>
          </w:tcPr>
          <w:p>
            <w:pPr>
              <w:pStyle w:val="TableParagraph"/>
              <w:ind w:left="94" w:right="85"/>
              <w:jc w:val="center"/>
              <w:rPr>
                <w:sz w:val="18"/>
              </w:rPr>
            </w:pPr>
            <w:r>
              <w:rPr>
                <w:spacing w:val="-5"/>
                <w:sz w:val="18"/>
              </w:rPr>
              <w:t>82</w:t>
            </w:r>
          </w:p>
        </w:tc>
        <w:tc>
          <w:tcPr>
            <w:tcW w:w="1277" w:type="dxa"/>
          </w:tcPr>
          <w:p>
            <w:pPr>
              <w:pStyle w:val="TableParagraph"/>
              <w:ind w:left="140" w:right="130"/>
              <w:jc w:val="center"/>
              <w:rPr>
                <w:sz w:val="18"/>
              </w:rPr>
            </w:pPr>
            <w:r>
              <w:rPr>
                <w:spacing w:val="-5"/>
                <w:sz w:val="18"/>
              </w:rPr>
              <w:t>96</w:t>
            </w:r>
          </w:p>
        </w:tc>
        <w:tc>
          <w:tcPr>
            <w:tcW w:w="1246" w:type="dxa"/>
          </w:tcPr>
          <w:p>
            <w:pPr>
              <w:pStyle w:val="TableParagraph"/>
              <w:ind w:left="453" w:right="442"/>
              <w:jc w:val="center"/>
              <w:rPr>
                <w:sz w:val="18"/>
              </w:rPr>
            </w:pPr>
            <w:r>
              <w:rPr>
                <w:spacing w:val="-5"/>
                <w:sz w:val="18"/>
              </w:rPr>
              <w:t>104</w:t>
            </w:r>
          </w:p>
        </w:tc>
        <w:tc>
          <w:tcPr>
            <w:tcW w:w="972" w:type="dxa"/>
          </w:tcPr>
          <w:p>
            <w:pPr>
              <w:pStyle w:val="TableParagraph"/>
              <w:ind w:left="162" w:right="153"/>
              <w:jc w:val="center"/>
              <w:rPr>
                <w:sz w:val="18"/>
              </w:rPr>
            </w:pPr>
            <w:r>
              <w:rPr>
                <w:spacing w:val="-5"/>
                <w:sz w:val="18"/>
              </w:rPr>
              <w:t>StB</w:t>
            </w:r>
          </w:p>
        </w:tc>
      </w:tr>
      <w:tr>
        <w:trPr>
          <w:trHeight w:val="309" w:hRule="atLeast"/>
        </w:trPr>
        <w:tc>
          <w:tcPr>
            <w:tcW w:w="3425" w:type="dxa"/>
            <w:shd w:val="clear" w:color="auto" w:fill="DEEAF6"/>
          </w:tcPr>
          <w:p>
            <w:pPr>
              <w:pStyle w:val="TableParagraph"/>
              <w:ind w:left="1149" w:right="1139"/>
              <w:jc w:val="center"/>
              <w:rPr>
                <w:sz w:val="18"/>
              </w:rPr>
            </w:pPr>
            <w:r>
              <w:rPr>
                <w:sz w:val="18"/>
              </w:rPr>
              <w:t>Fuel</w:t>
            </w:r>
            <w:r>
              <w:rPr>
                <w:spacing w:val="-3"/>
                <w:sz w:val="18"/>
              </w:rPr>
              <w:t> </w:t>
            </w:r>
            <w:r>
              <w:rPr>
                <w:spacing w:val="-2"/>
                <w:sz w:val="18"/>
              </w:rPr>
              <w:t>imports</w:t>
            </w:r>
          </w:p>
        </w:tc>
        <w:tc>
          <w:tcPr>
            <w:tcW w:w="1186" w:type="dxa"/>
            <w:shd w:val="clear" w:color="auto" w:fill="DEEAF6"/>
          </w:tcPr>
          <w:p>
            <w:pPr>
              <w:pStyle w:val="TableParagraph"/>
              <w:ind w:left="93" w:right="85"/>
              <w:jc w:val="center"/>
              <w:rPr>
                <w:sz w:val="18"/>
              </w:rPr>
            </w:pPr>
            <w:r>
              <w:rPr>
                <w:spacing w:val="-2"/>
                <w:sz w:val="18"/>
              </w:rPr>
              <w:t>8,141</w:t>
            </w:r>
          </w:p>
        </w:tc>
        <w:tc>
          <w:tcPr>
            <w:tcW w:w="1277" w:type="dxa"/>
            <w:shd w:val="clear" w:color="auto" w:fill="DEEAF6"/>
          </w:tcPr>
          <w:p>
            <w:pPr>
              <w:pStyle w:val="TableParagraph"/>
              <w:ind w:left="140" w:right="130"/>
              <w:jc w:val="center"/>
              <w:rPr>
                <w:sz w:val="18"/>
              </w:rPr>
            </w:pPr>
            <w:r>
              <w:rPr>
                <w:spacing w:val="-2"/>
                <w:sz w:val="18"/>
              </w:rPr>
              <w:t>10,434</w:t>
            </w:r>
          </w:p>
        </w:tc>
        <w:tc>
          <w:tcPr>
            <w:tcW w:w="1246" w:type="dxa"/>
            <w:shd w:val="clear" w:color="auto" w:fill="DEEAF6"/>
          </w:tcPr>
          <w:p>
            <w:pPr>
              <w:pStyle w:val="TableParagraph"/>
              <w:ind w:left="374"/>
              <w:rPr>
                <w:sz w:val="18"/>
              </w:rPr>
            </w:pPr>
            <w:r>
              <w:rPr>
                <w:spacing w:val="-2"/>
                <w:sz w:val="18"/>
              </w:rPr>
              <w:t>12,165</w:t>
            </w:r>
          </w:p>
        </w:tc>
        <w:tc>
          <w:tcPr>
            <w:tcW w:w="972" w:type="dxa"/>
            <w:shd w:val="clear" w:color="auto" w:fill="DEEAF6"/>
          </w:tcPr>
          <w:p>
            <w:pPr>
              <w:pStyle w:val="TableParagraph"/>
              <w:ind w:left="162" w:right="153"/>
              <w:jc w:val="center"/>
              <w:rPr>
                <w:sz w:val="18"/>
              </w:rPr>
            </w:pPr>
            <w:r>
              <w:rPr>
                <w:spacing w:val="-5"/>
                <w:sz w:val="18"/>
              </w:rPr>
              <w:t>StB</w:t>
            </w:r>
          </w:p>
        </w:tc>
      </w:tr>
      <w:tr>
        <w:trPr>
          <w:trHeight w:val="311" w:hRule="atLeast"/>
        </w:trPr>
        <w:tc>
          <w:tcPr>
            <w:tcW w:w="3425" w:type="dxa"/>
          </w:tcPr>
          <w:p>
            <w:pPr>
              <w:pStyle w:val="TableParagraph"/>
              <w:ind w:left="402"/>
              <w:rPr>
                <w:sz w:val="18"/>
              </w:rPr>
            </w:pPr>
            <w:r>
              <w:rPr>
                <w:sz w:val="18"/>
              </w:rPr>
              <w:t>Food</w:t>
            </w:r>
            <w:r>
              <w:rPr>
                <w:spacing w:val="39"/>
                <w:sz w:val="18"/>
              </w:rPr>
              <w:t> </w:t>
            </w:r>
            <w:r>
              <w:rPr>
                <w:sz w:val="18"/>
              </w:rPr>
              <w:t>Beverages</w:t>
            </w:r>
            <w:r>
              <w:rPr>
                <w:spacing w:val="-3"/>
                <w:sz w:val="18"/>
              </w:rPr>
              <w:t> </w:t>
            </w:r>
            <w:r>
              <w:rPr>
                <w:sz w:val="18"/>
              </w:rPr>
              <w:t>&amp;Tobacco</w:t>
            </w:r>
            <w:r>
              <w:rPr>
                <w:spacing w:val="-2"/>
                <w:sz w:val="18"/>
              </w:rPr>
              <w:t> Imports</w:t>
            </w:r>
          </w:p>
        </w:tc>
        <w:tc>
          <w:tcPr>
            <w:tcW w:w="1186" w:type="dxa"/>
          </w:tcPr>
          <w:p>
            <w:pPr>
              <w:pStyle w:val="TableParagraph"/>
              <w:ind w:left="93" w:right="85"/>
              <w:jc w:val="center"/>
              <w:rPr>
                <w:sz w:val="18"/>
              </w:rPr>
            </w:pPr>
            <w:r>
              <w:rPr>
                <w:spacing w:val="-2"/>
                <w:sz w:val="18"/>
              </w:rPr>
              <w:t>7,049</w:t>
            </w:r>
          </w:p>
        </w:tc>
        <w:tc>
          <w:tcPr>
            <w:tcW w:w="1277" w:type="dxa"/>
          </w:tcPr>
          <w:p>
            <w:pPr>
              <w:pStyle w:val="TableParagraph"/>
              <w:ind w:left="140" w:right="84"/>
              <w:jc w:val="center"/>
              <w:rPr>
                <w:sz w:val="18"/>
              </w:rPr>
            </w:pPr>
            <w:r>
              <w:rPr>
                <w:spacing w:val="-2"/>
                <w:sz w:val="18"/>
              </w:rPr>
              <w:t>8,012</w:t>
            </w:r>
          </w:p>
        </w:tc>
        <w:tc>
          <w:tcPr>
            <w:tcW w:w="1246" w:type="dxa"/>
          </w:tcPr>
          <w:p>
            <w:pPr>
              <w:pStyle w:val="TableParagraph"/>
              <w:ind w:left="419"/>
              <w:rPr>
                <w:sz w:val="18"/>
              </w:rPr>
            </w:pPr>
            <w:r>
              <w:rPr>
                <w:spacing w:val="-2"/>
                <w:sz w:val="18"/>
              </w:rPr>
              <w:t>9,045</w:t>
            </w:r>
          </w:p>
        </w:tc>
        <w:tc>
          <w:tcPr>
            <w:tcW w:w="972" w:type="dxa"/>
          </w:tcPr>
          <w:p>
            <w:pPr>
              <w:pStyle w:val="TableParagraph"/>
              <w:ind w:left="162" w:right="153"/>
              <w:jc w:val="center"/>
              <w:rPr>
                <w:sz w:val="18"/>
              </w:rPr>
            </w:pPr>
            <w:r>
              <w:rPr>
                <w:spacing w:val="-5"/>
                <w:sz w:val="18"/>
              </w:rPr>
              <w:t>StB</w:t>
            </w:r>
          </w:p>
        </w:tc>
      </w:tr>
      <w:tr>
        <w:trPr>
          <w:trHeight w:val="309" w:hRule="atLeast"/>
        </w:trPr>
        <w:tc>
          <w:tcPr>
            <w:tcW w:w="3425" w:type="dxa"/>
            <w:shd w:val="clear" w:color="auto" w:fill="DEEAF6"/>
          </w:tcPr>
          <w:p>
            <w:pPr>
              <w:pStyle w:val="TableParagraph"/>
              <w:ind w:left="162"/>
              <w:rPr>
                <w:sz w:val="18"/>
              </w:rPr>
            </w:pPr>
            <w:r>
              <w:rPr>
                <w:sz w:val="18"/>
              </w:rPr>
              <w:t>Machinery</w:t>
            </w:r>
            <w:r>
              <w:rPr>
                <w:spacing w:val="-6"/>
                <w:sz w:val="18"/>
              </w:rPr>
              <w:t> </w:t>
            </w:r>
            <w:r>
              <w:rPr>
                <w:sz w:val="18"/>
              </w:rPr>
              <w:t>&amp;</w:t>
            </w:r>
            <w:r>
              <w:rPr>
                <w:spacing w:val="-3"/>
                <w:sz w:val="18"/>
              </w:rPr>
              <w:t> </w:t>
            </w:r>
            <w:r>
              <w:rPr>
                <w:sz w:val="18"/>
              </w:rPr>
              <w:t>Electrical</w:t>
            </w:r>
            <w:r>
              <w:rPr>
                <w:spacing w:val="-1"/>
                <w:sz w:val="18"/>
              </w:rPr>
              <w:t> </w:t>
            </w:r>
            <w:r>
              <w:rPr>
                <w:sz w:val="18"/>
              </w:rPr>
              <w:t>equipment</w:t>
            </w:r>
            <w:r>
              <w:rPr>
                <w:spacing w:val="-2"/>
                <w:sz w:val="18"/>
              </w:rPr>
              <w:t> imports</w:t>
            </w:r>
          </w:p>
        </w:tc>
        <w:tc>
          <w:tcPr>
            <w:tcW w:w="1186" w:type="dxa"/>
            <w:shd w:val="clear" w:color="auto" w:fill="DEEAF6"/>
          </w:tcPr>
          <w:p>
            <w:pPr>
              <w:pStyle w:val="TableParagraph"/>
              <w:ind w:left="141" w:right="85"/>
              <w:jc w:val="center"/>
              <w:rPr>
                <w:sz w:val="18"/>
              </w:rPr>
            </w:pPr>
            <w:r>
              <w:rPr>
                <w:spacing w:val="-2"/>
                <w:sz w:val="18"/>
              </w:rPr>
              <w:t>6,014</w:t>
            </w:r>
          </w:p>
        </w:tc>
        <w:tc>
          <w:tcPr>
            <w:tcW w:w="1277" w:type="dxa"/>
            <w:shd w:val="clear" w:color="auto" w:fill="DEEAF6"/>
          </w:tcPr>
          <w:p>
            <w:pPr>
              <w:pStyle w:val="TableParagraph"/>
              <w:ind w:left="138" w:right="130"/>
              <w:jc w:val="center"/>
              <w:rPr>
                <w:sz w:val="18"/>
              </w:rPr>
            </w:pPr>
            <w:r>
              <w:rPr>
                <w:spacing w:val="-2"/>
                <w:sz w:val="18"/>
              </w:rPr>
              <w:t>7,034</w:t>
            </w:r>
          </w:p>
        </w:tc>
        <w:tc>
          <w:tcPr>
            <w:tcW w:w="1246" w:type="dxa"/>
            <w:shd w:val="clear" w:color="auto" w:fill="DEEAF6"/>
          </w:tcPr>
          <w:p>
            <w:pPr>
              <w:pStyle w:val="TableParagraph"/>
              <w:ind w:left="419"/>
              <w:rPr>
                <w:sz w:val="18"/>
              </w:rPr>
            </w:pPr>
            <w:r>
              <w:rPr>
                <w:spacing w:val="-2"/>
                <w:sz w:val="18"/>
              </w:rPr>
              <w:t>7,972</w:t>
            </w:r>
          </w:p>
        </w:tc>
        <w:tc>
          <w:tcPr>
            <w:tcW w:w="972" w:type="dxa"/>
            <w:shd w:val="clear" w:color="auto" w:fill="DEEAF6"/>
          </w:tcPr>
          <w:p>
            <w:pPr>
              <w:pStyle w:val="TableParagraph"/>
              <w:ind w:left="162" w:right="153"/>
              <w:jc w:val="center"/>
              <w:rPr>
                <w:sz w:val="18"/>
              </w:rPr>
            </w:pPr>
            <w:r>
              <w:rPr>
                <w:spacing w:val="-5"/>
                <w:sz w:val="18"/>
              </w:rPr>
              <w:t>StB</w:t>
            </w:r>
          </w:p>
        </w:tc>
      </w:tr>
      <w:tr>
        <w:trPr>
          <w:trHeight w:val="311" w:hRule="atLeast"/>
        </w:trPr>
        <w:tc>
          <w:tcPr>
            <w:tcW w:w="3425" w:type="dxa"/>
          </w:tcPr>
          <w:p>
            <w:pPr>
              <w:pStyle w:val="TableParagraph"/>
              <w:spacing w:line="240" w:lineRule="auto" w:before="2"/>
              <w:rPr>
                <w:b/>
                <w:sz w:val="18"/>
              </w:rPr>
            </w:pPr>
            <w:r>
              <w:rPr>
                <w:b/>
                <w:sz w:val="18"/>
              </w:rPr>
              <w:t>Foreign</w:t>
            </w:r>
            <w:r>
              <w:rPr>
                <w:b/>
                <w:spacing w:val="-7"/>
                <w:sz w:val="18"/>
              </w:rPr>
              <w:t> </w:t>
            </w:r>
            <w:r>
              <w:rPr>
                <w:b/>
                <w:sz w:val="18"/>
              </w:rPr>
              <w:t>Exchange</w:t>
            </w:r>
            <w:r>
              <w:rPr>
                <w:b/>
                <w:spacing w:val="-7"/>
                <w:sz w:val="18"/>
              </w:rPr>
              <w:t> </w:t>
            </w:r>
            <w:r>
              <w:rPr>
                <w:b/>
                <w:sz w:val="18"/>
              </w:rPr>
              <w:t>Reserves</w:t>
            </w:r>
            <w:r>
              <w:rPr>
                <w:b/>
                <w:spacing w:val="-5"/>
                <w:sz w:val="18"/>
              </w:rPr>
              <w:t> </w:t>
            </w:r>
            <w:r>
              <w:rPr>
                <w:b/>
                <w:spacing w:val="-2"/>
                <w:sz w:val="18"/>
              </w:rPr>
              <w:t>(million)</w:t>
            </w:r>
          </w:p>
        </w:tc>
        <w:tc>
          <w:tcPr>
            <w:tcW w:w="1186" w:type="dxa"/>
          </w:tcPr>
          <w:p>
            <w:pPr>
              <w:pStyle w:val="TableParagraph"/>
              <w:spacing w:line="240" w:lineRule="auto" w:before="2"/>
              <w:ind w:left="93" w:right="85"/>
              <w:jc w:val="center"/>
              <w:rPr>
                <w:b/>
                <w:sz w:val="18"/>
              </w:rPr>
            </w:pPr>
            <w:r>
              <w:rPr>
                <w:b/>
                <w:sz w:val="18"/>
              </w:rPr>
              <w:t>June</w:t>
            </w:r>
            <w:r>
              <w:rPr>
                <w:b/>
                <w:spacing w:val="-8"/>
                <w:sz w:val="18"/>
              </w:rPr>
              <w:t> </w:t>
            </w:r>
            <w:r>
              <w:rPr>
                <w:b/>
                <w:spacing w:val="-4"/>
                <w:sz w:val="18"/>
              </w:rPr>
              <w:t>2022</w:t>
            </w:r>
          </w:p>
        </w:tc>
        <w:tc>
          <w:tcPr>
            <w:tcW w:w="1277" w:type="dxa"/>
          </w:tcPr>
          <w:p>
            <w:pPr>
              <w:pStyle w:val="TableParagraph"/>
              <w:spacing w:line="240" w:lineRule="auto" w:before="2"/>
              <w:ind w:left="140" w:right="130"/>
              <w:jc w:val="center"/>
              <w:rPr>
                <w:b/>
                <w:sz w:val="18"/>
              </w:rPr>
            </w:pPr>
            <w:r>
              <w:rPr>
                <w:b/>
                <w:sz w:val="18"/>
              </w:rPr>
              <w:t>July</w:t>
            </w:r>
            <w:r>
              <w:rPr>
                <w:b/>
                <w:spacing w:val="-3"/>
                <w:sz w:val="18"/>
              </w:rPr>
              <w:t> </w:t>
            </w:r>
            <w:r>
              <w:rPr>
                <w:b/>
                <w:spacing w:val="-4"/>
                <w:sz w:val="18"/>
              </w:rPr>
              <w:t>2022</w:t>
            </w:r>
          </w:p>
        </w:tc>
        <w:tc>
          <w:tcPr>
            <w:tcW w:w="1246" w:type="dxa"/>
          </w:tcPr>
          <w:p>
            <w:pPr>
              <w:pStyle w:val="TableParagraph"/>
              <w:spacing w:line="240" w:lineRule="auto" w:before="2"/>
              <w:ind w:left="259"/>
              <w:rPr>
                <w:b/>
                <w:sz w:val="18"/>
              </w:rPr>
            </w:pPr>
            <w:r>
              <w:rPr>
                <w:b/>
                <w:sz w:val="18"/>
              </w:rPr>
              <w:t>Aug</w:t>
            </w:r>
            <w:r>
              <w:rPr>
                <w:b/>
                <w:spacing w:val="-4"/>
                <w:sz w:val="18"/>
              </w:rPr>
              <w:t> 2022</w:t>
            </w:r>
          </w:p>
        </w:tc>
        <w:tc>
          <w:tcPr>
            <w:tcW w:w="972" w:type="dxa"/>
          </w:tcPr>
          <w:p>
            <w:pPr>
              <w:pStyle w:val="TableParagraph"/>
              <w:spacing w:line="240" w:lineRule="auto"/>
              <w:ind w:left="0"/>
              <w:rPr>
                <w:sz w:val="18"/>
              </w:rPr>
            </w:pPr>
          </w:p>
        </w:tc>
      </w:tr>
      <w:tr>
        <w:trPr>
          <w:trHeight w:val="309" w:hRule="atLeast"/>
        </w:trPr>
        <w:tc>
          <w:tcPr>
            <w:tcW w:w="3425" w:type="dxa"/>
            <w:shd w:val="clear" w:color="auto" w:fill="DEEAF6"/>
          </w:tcPr>
          <w:p>
            <w:pPr>
              <w:pStyle w:val="TableParagraph"/>
              <w:ind w:left="1150" w:right="1139"/>
              <w:jc w:val="center"/>
              <w:rPr>
                <w:sz w:val="18"/>
              </w:rPr>
            </w:pPr>
            <w:r>
              <w:rPr>
                <w:spacing w:val="-4"/>
                <w:sz w:val="18"/>
              </w:rPr>
              <w:t>Pula</w:t>
            </w:r>
          </w:p>
        </w:tc>
        <w:tc>
          <w:tcPr>
            <w:tcW w:w="1186" w:type="dxa"/>
            <w:shd w:val="clear" w:color="auto" w:fill="DEEAF6"/>
          </w:tcPr>
          <w:p>
            <w:pPr>
              <w:pStyle w:val="TableParagraph"/>
              <w:ind w:left="95" w:right="85"/>
              <w:jc w:val="center"/>
              <w:rPr>
                <w:sz w:val="18"/>
              </w:rPr>
            </w:pPr>
            <w:r>
              <w:rPr>
                <w:spacing w:val="-2"/>
                <w:sz w:val="18"/>
              </w:rPr>
              <w:t>54,238</w:t>
            </w:r>
          </w:p>
        </w:tc>
        <w:tc>
          <w:tcPr>
            <w:tcW w:w="1277" w:type="dxa"/>
            <w:shd w:val="clear" w:color="auto" w:fill="DEEAF6"/>
          </w:tcPr>
          <w:p>
            <w:pPr>
              <w:pStyle w:val="TableParagraph"/>
              <w:ind w:left="140" w:right="130"/>
              <w:jc w:val="center"/>
              <w:rPr>
                <w:sz w:val="18"/>
              </w:rPr>
            </w:pPr>
            <w:r>
              <w:rPr>
                <w:sz w:val="18"/>
              </w:rPr>
              <w:t>60 </w:t>
            </w:r>
            <w:r>
              <w:rPr>
                <w:spacing w:val="-5"/>
                <w:sz w:val="18"/>
              </w:rPr>
              <w:t>500</w:t>
            </w:r>
          </w:p>
        </w:tc>
        <w:tc>
          <w:tcPr>
            <w:tcW w:w="1246" w:type="dxa"/>
            <w:shd w:val="clear" w:color="auto" w:fill="DEEAF6"/>
          </w:tcPr>
          <w:p>
            <w:pPr>
              <w:pStyle w:val="TableParagraph"/>
              <w:ind w:left="307"/>
              <w:rPr>
                <w:sz w:val="18"/>
              </w:rPr>
            </w:pPr>
            <w:r>
              <w:rPr>
                <w:sz w:val="18"/>
              </w:rPr>
              <w:t>59 </w:t>
            </w:r>
            <w:r>
              <w:rPr>
                <w:spacing w:val="-4"/>
                <w:sz w:val="18"/>
              </w:rPr>
              <w:t>260.4</w:t>
            </w:r>
          </w:p>
        </w:tc>
        <w:tc>
          <w:tcPr>
            <w:tcW w:w="972" w:type="dxa"/>
            <w:shd w:val="clear" w:color="auto" w:fill="DEEAF6"/>
          </w:tcPr>
          <w:p>
            <w:pPr>
              <w:pStyle w:val="TableParagraph"/>
              <w:ind w:left="160" w:right="153"/>
              <w:jc w:val="center"/>
              <w:rPr>
                <w:sz w:val="18"/>
              </w:rPr>
            </w:pPr>
            <w:r>
              <w:rPr>
                <w:spacing w:val="-5"/>
                <w:sz w:val="18"/>
              </w:rPr>
              <w:t>BoB</w:t>
            </w:r>
          </w:p>
        </w:tc>
      </w:tr>
      <w:tr>
        <w:trPr>
          <w:trHeight w:val="311" w:hRule="atLeast"/>
        </w:trPr>
        <w:tc>
          <w:tcPr>
            <w:tcW w:w="3425" w:type="dxa"/>
          </w:tcPr>
          <w:p>
            <w:pPr>
              <w:pStyle w:val="TableParagraph"/>
              <w:spacing w:line="204" w:lineRule="exact"/>
              <w:ind w:left="1149" w:right="1139"/>
              <w:jc w:val="center"/>
              <w:rPr>
                <w:sz w:val="18"/>
              </w:rPr>
            </w:pPr>
            <w:r>
              <w:rPr>
                <w:sz w:val="18"/>
              </w:rPr>
              <w:t>US</w:t>
            </w:r>
            <w:r>
              <w:rPr>
                <w:spacing w:val="-3"/>
                <w:sz w:val="18"/>
              </w:rPr>
              <w:t> </w:t>
            </w:r>
            <w:r>
              <w:rPr>
                <w:spacing w:val="-2"/>
                <w:sz w:val="18"/>
              </w:rPr>
              <w:t>dollar</w:t>
            </w:r>
          </w:p>
        </w:tc>
        <w:tc>
          <w:tcPr>
            <w:tcW w:w="1186" w:type="dxa"/>
          </w:tcPr>
          <w:p>
            <w:pPr>
              <w:pStyle w:val="TableParagraph"/>
              <w:spacing w:line="204" w:lineRule="exact"/>
              <w:ind w:left="93" w:right="85"/>
              <w:jc w:val="center"/>
              <w:rPr>
                <w:sz w:val="18"/>
              </w:rPr>
            </w:pPr>
            <w:r>
              <w:rPr>
                <w:spacing w:val="-2"/>
                <w:sz w:val="18"/>
              </w:rPr>
              <w:t>4,377</w:t>
            </w:r>
          </w:p>
        </w:tc>
        <w:tc>
          <w:tcPr>
            <w:tcW w:w="1277" w:type="dxa"/>
          </w:tcPr>
          <w:p>
            <w:pPr>
              <w:pStyle w:val="TableParagraph"/>
              <w:spacing w:line="204" w:lineRule="exact"/>
              <w:ind w:left="138" w:right="130"/>
              <w:jc w:val="center"/>
              <w:rPr>
                <w:sz w:val="18"/>
              </w:rPr>
            </w:pPr>
            <w:r>
              <w:rPr>
                <w:sz w:val="18"/>
              </w:rPr>
              <w:t>4</w:t>
            </w:r>
            <w:r>
              <w:rPr>
                <w:spacing w:val="1"/>
                <w:sz w:val="18"/>
              </w:rPr>
              <w:t> </w:t>
            </w:r>
            <w:r>
              <w:rPr>
                <w:spacing w:val="-5"/>
                <w:sz w:val="18"/>
              </w:rPr>
              <w:t>810</w:t>
            </w:r>
          </w:p>
        </w:tc>
        <w:tc>
          <w:tcPr>
            <w:tcW w:w="1246" w:type="dxa"/>
          </w:tcPr>
          <w:p>
            <w:pPr>
              <w:pStyle w:val="TableParagraph"/>
              <w:spacing w:line="204" w:lineRule="exact"/>
              <w:ind w:left="374"/>
              <w:rPr>
                <w:sz w:val="18"/>
              </w:rPr>
            </w:pPr>
            <w:r>
              <w:rPr>
                <w:spacing w:val="-2"/>
                <w:sz w:val="18"/>
              </w:rPr>
              <w:t>4616.4</w:t>
            </w:r>
          </w:p>
        </w:tc>
        <w:tc>
          <w:tcPr>
            <w:tcW w:w="972" w:type="dxa"/>
          </w:tcPr>
          <w:p>
            <w:pPr>
              <w:pStyle w:val="TableParagraph"/>
              <w:spacing w:line="204" w:lineRule="exact"/>
              <w:ind w:left="160" w:right="153"/>
              <w:jc w:val="center"/>
              <w:rPr>
                <w:sz w:val="18"/>
              </w:rPr>
            </w:pPr>
            <w:r>
              <w:rPr>
                <w:spacing w:val="-5"/>
                <w:sz w:val="18"/>
              </w:rPr>
              <w:t>BoB</w:t>
            </w:r>
          </w:p>
        </w:tc>
      </w:tr>
      <w:tr>
        <w:trPr>
          <w:trHeight w:val="364" w:hRule="atLeast"/>
        </w:trPr>
        <w:tc>
          <w:tcPr>
            <w:tcW w:w="3425" w:type="dxa"/>
            <w:shd w:val="clear" w:color="auto" w:fill="DEEAF6"/>
          </w:tcPr>
          <w:p>
            <w:pPr>
              <w:pStyle w:val="TableParagraph"/>
              <w:spacing w:line="207" w:lineRule="exact"/>
              <w:rPr>
                <w:b/>
                <w:sz w:val="18"/>
              </w:rPr>
            </w:pPr>
            <w:r>
              <w:rPr>
                <w:b/>
                <w:sz w:val="18"/>
              </w:rPr>
              <w:t>Diamond</w:t>
            </w:r>
            <w:r>
              <w:rPr>
                <w:b/>
                <w:spacing w:val="-9"/>
                <w:sz w:val="18"/>
              </w:rPr>
              <w:t> </w:t>
            </w:r>
            <w:r>
              <w:rPr>
                <w:b/>
                <w:sz w:val="18"/>
              </w:rPr>
              <w:t>Sales</w:t>
            </w:r>
            <w:r>
              <w:rPr>
                <w:b/>
                <w:spacing w:val="-9"/>
                <w:sz w:val="18"/>
              </w:rPr>
              <w:t> </w:t>
            </w:r>
            <w:r>
              <w:rPr>
                <w:b/>
                <w:spacing w:val="-2"/>
                <w:sz w:val="18"/>
              </w:rPr>
              <w:t>(million)</w:t>
            </w:r>
          </w:p>
        </w:tc>
        <w:tc>
          <w:tcPr>
            <w:tcW w:w="1186" w:type="dxa"/>
            <w:shd w:val="clear" w:color="auto" w:fill="DEEAF6"/>
          </w:tcPr>
          <w:p>
            <w:pPr>
              <w:pStyle w:val="TableParagraph"/>
              <w:spacing w:line="207" w:lineRule="exact"/>
              <w:ind w:left="95" w:right="85"/>
              <w:jc w:val="center"/>
              <w:rPr>
                <w:b/>
                <w:sz w:val="18"/>
              </w:rPr>
            </w:pPr>
            <w:r>
              <w:rPr>
                <w:b/>
                <w:sz w:val="18"/>
              </w:rPr>
              <w:t>2022</w:t>
            </w:r>
            <w:r>
              <w:rPr>
                <w:b/>
                <w:spacing w:val="-2"/>
                <w:sz w:val="18"/>
              </w:rPr>
              <w:t> </w:t>
            </w:r>
            <w:r>
              <w:rPr>
                <w:b/>
                <w:sz w:val="18"/>
              </w:rPr>
              <w:t>Cycle</w:t>
            </w:r>
            <w:r>
              <w:rPr>
                <w:b/>
                <w:spacing w:val="-2"/>
                <w:sz w:val="18"/>
              </w:rPr>
              <w:t> </w:t>
            </w:r>
            <w:r>
              <w:rPr>
                <w:b/>
                <w:spacing w:val="-10"/>
                <w:sz w:val="18"/>
              </w:rPr>
              <w:t>6</w:t>
            </w:r>
          </w:p>
        </w:tc>
        <w:tc>
          <w:tcPr>
            <w:tcW w:w="1277" w:type="dxa"/>
            <w:shd w:val="clear" w:color="auto" w:fill="DEEAF6"/>
          </w:tcPr>
          <w:p>
            <w:pPr>
              <w:pStyle w:val="TableParagraph"/>
              <w:spacing w:line="207" w:lineRule="exact"/>
              <w:ind w:left="140" w:right="130"/>
              <w:jc w:val="center"/>
              <w:rPr>
                <w:b/>
                <w:sz w:val="18"/>
              </w:rPr>
            </w:pPr>
            <w:r>
              <w:rPr>
                <w:b/>
                <w:sz w:val="18"/>
              </w:rPr>
              <w:t>2022</w:t>
            </w:r>
            <w:r>
              <w:rPr>
                <w:b/>
                <w:spacing w:val="-2"/>
                <w:sz w:val="18"/>
              </w:rPr>
              <w:t> </w:t>
            </w:r>
            <w:r>
              <w:rPr>
                <w:b/>
                <w:sz w:val="18"/>
              </w:rPr>
              <w:t>Cycle</w:t>
            </w:r>
            <w:r>
              <w:rPr>
                <w:b/>
                <w:spacing w:val="-2"/>
                <w:sz w:val="18"/>
              </w:rPr>
              <w:t> </w:t>
            </w:r>
            <w:r>
              <w:rPr>
                <w:b/>
                <w:spacing w:val="-10"/>
                <w:sz w:val="18"/>
              </w:rPr>
              <w:t>7</w:t>
            </w:r>
          </w:p>
        </w:tc>
        <w:tc>
          <w:tcPr>
            <w:tcW w:w="1246" w:type="dxa"/>
            <w:shd w:val="clear" w:color="auto" w:fill="DEEAF6"/>
          </w:tcPr>
          <w:p>
            <w:pPr>
              <w:pStyle w:val="TableParagraph"/>
              <w:spacing w:line="207" w:lineRule="exact"/>
              <w:rPr>
                <w:b/>
                <w:sz w:val="18"/>
              </w:rPr>
            </w:pPr>
            <w:r>
              <w:rPr>
                <w:b/>
                <w:sz w:val="18"/>
              </w:rPr>
              <w:t>2022</w:t>
            </w:r>
            <w:r>
              <w:rPr>
                <w:b/>
                <w:spacing w:val="-2"/>
                <w:sz w:val="18"/>
              </w:rPr>
              <w:t> </w:t>
            </w:r>
            <w:r>
              <w:rPr>
                <w:b/>
                <w:sz w:val="18"/>
              </w:rPr>
              <w:t>Cycle</w:t>
            </w:r>
            <w:r>
              <w:rPr>
                <w:b/>
                <w:spacing w:val="-2"/>
                <w:sz w:val="18"/>
              </w:rPr>
              <w:t> </w:t>
            </w:r>
            <w:r>
              <w:rPr>
                <w:b/>
                <w:spacing w:val="-5"/>
                <w:sz w:val="18"/>
              </w:rPr>
              <w:t>8</w:t>
            </w:r>
            <w:r>
              <w:rPr>
                <w:b/>
                <w:spacing w:val="-5"/>
                <w:sz w:val="18"/>
                <w:vertAlign w:val="superscript"/>
              </w:rPr>
              <w:t>4</w:t>
            </w:r>
          </w:p>
        </w:tc>
        <w:tc>
          <w:tcPr>
            <w:tcW w:w="972" w:type="dxa"/>
            <w:shd w:val="clear" w:color="auto" w:fill="DEEAF6"/>
          </w:tcPr>
          <w:p>
            <w:pPr>
              <w:pStyle w:val="TableParagraph"/>
              <w:spacing w:line="240" w:lineRule="auto"/>
              <w:ind w:left="0"/>
              <w:rPr>
                <w:sz w:val="18"/>
              </w:rPr>
            </w:pPr>
          </w:p>
        </w:tc>
      </w:tr>
      <w:tr>
        <w:trPr>
          <w:trHeight w:val="373" w:hRule="atLeast"/>
        </w:trPr>
        <w:tc>
          <w:tcPr>
            <w:tcW w:w="3425" w:type="dxa"/>
          </w:tcPr>
          <w:p>
            <w:pPr>
              <w:pStyle w:val="TableParagraph"/>
              <w:ind w:left="1149" w:right="1139"/>
              <w:jc w:val="center"/>
              <w:rPr>
                <w:sz w:val="18"/>
              </w:rPr>
            </w:pPr>
            <w:r>
              <w:rPr>
                <w:sz w:val="18"/>
              </w:rPr>
              <w:t>US</w:t>
            </w:r>
            <w:r>
              <w:rPr>
                <w:spacing w:val="-3"/>
                <w:sz w:val="18"/>
              </w:rPr>
              <w:t> </w:t>
            </w:r>
            <w:r>
              <w:rPr>
                <w:sz w:val="18"/>
              </w:rPr>
              <w:t>dollar</w:t>
            </w:r>
            <w:r>
              <w:rPr>
                <w:spacing w:val="-2"/>
                <w:sz w:val="18"/>
              </w:rPr>
              <w:t> </w:t>
            </w:r>
            <w:r>
              <w:rPr>
                <w:spacing w:val="-4"/>
                <w:sz w:val="18"/>
              </w:rPr>
              <w:t>(mn)</w:t>
            </w:r>
          </w:p>
        </w:tc>
        <w:tc>
          <w:tcPr>
            <w:tcW w:w="1186" w:type="dxa"/>
          </w:tcPr>
          <w:p>
            <w:pPr>
              <w:pStyle w:val="TableParagraph"/>
              <w:ind w:left="94" w:right="85"/>
              <w:jc w:val="center"/>
              <w:rPr>
                <w:sz w:val="18"/>
              </w:rPr>
            </w:pPr>
            <w:r>
              <w:rPr>
                <w:spacing w:val="-5"/>
                <w:sz w:val="18"/>
              </w:rPr>
              <w:t>638</w:t>
            </w:r>
          </w:p>
        </w:tc>
        <w:tc>
          <w:tcPr>
            <w:tcW w:w="1277" w:type="dxa"/>
          </w:tcPr>
          <w:p>
            <w:pPr>
              <w:pStyle w:val="TableParagraph"/>
              <w:ind w:left="140" w:right="130"/>
              <w:jc w:val="center"/>
              <w:rPr>
                <w:sz w:val="18"/>
              </w:rPr>
            </w:pPr>
            <w:r>
              <w:rPr>
                <w:spacing w:val="-5"/>
                <w:sz w:val="18"/>
              </w:rPr>
              <w:t>638</w:t>
            </w:r>
          </w:p>
        </w:tc>
        <w:tc>
          <w:tcPr>
            <w:tcW w:w="1246" w:type="dxa"/>
          </w:tcPr>
          <w:p>
            <w:pPr>
              <w:pStyle w:val="TableParagraph"/>
              <w:ind w:left="453" w:right="442"/>
              <w:jc w:val="center"/>
              <w:rPr>
                <w:sz w:val="18"/>
              </w:rPr>
            </w:pPr>
            <w:r>
              <w:rPr>
                <w:spacing w:val="-5"/>
                <w:sz w:val="18"/>
              </w:rPr>
              <w:t>500</w:t>
            </w:r>
          </w:p>
        </w:tc>
        <w:tc>
          <w:tcPr>
            <w:tcW w:w="972" w:type="dxa"/>
          </w:tcPr>
          <w:p>
            <w:pPr>
              <w:pStyle w:val="TableParagraph"/>
              <w:ind w:left="163" w:right="153"/>
              <w:jc w:val="center"/>
              <w:rPr>
                <w:sz w:val="18"/>
              </w:rPr>
            </w:pPr>
            <w:r>
              <w:rPr>
                <w:spacing w:val="-2"/>
                <w:sz w:val="18"/>
              </w:rPr>
              <w:t>DeBeers</w:t>
            </w:r>
          </w:p>
        </w:tc>
      </w:tr>
      <w:tr>
        <w:trPr>
          <w:trHeight w:val="311" w:hRule="atLeast"/>
        </w:trPr>
        <w:tc>
          <w:tcPr>
            <w:tcW w:w="3425" w:type="dxa"/>
            <w:shd w:val="clear" w:color="auto" w:fill="DEEAF6"/>
          </w:tcPr>
          <w:p>
            <w:pPr>
              <w:pStyle w:val="TableParagraph"/>
              <w:spacing w:line="207" w:lineRule="exact"/>
              <w:rPr>
                <w:b/>
                <w:sz w:val="18"/>
              </w:rPr>
            </w:pPr>
            <w:r>
              <w:rPr>
                <w:b/>
                <w:sz w:val="18"/>
              </w:rPr>
              <w:t>Interest</w:t>
            </w:r>
            <w:r>
              <w:rPr>
                <w:b/>
                <w:spacing w:val="-8"/>
                <w:sz w:val="18"/>
              </w:rPr>
              <w:t> </w:t>
            </w:r>
            <w:r>
              <w:rPr>
                <w:b/>
                <w:sz w:val="18"/>
              </w:rPr>
              <w:t>Rates</w:t>
            </w:r>
            <w:r>
              <w:rPr>
                <w:b/>
                <w:spacing w:val="-8"/>
                <w:sz w:val="18"/>
              </w:rPr>
              <w:t> </w:t>
            </w:r>
            <w:r>
              <w:rPr>
                <w:b/>
                <w:spacing w:val="-5"/>
                <w:sz w:val="18"/>
              </w:rPr>
              <w:t>(%)</w:t>
            </w:r>
          </w:p>
        </w:tc>
        <w:tc>
          <w:tcPr>
            <w:tcW w:w="1186" w:type="dxa"/>
            <w:shd w:val="clear" w:color="auto" w:fill="DEEAF6"/>
          </w:tcPr>
          <w:p>
            <w:pPr>
              <w:pStyle w:val="TableParagraph"/>
              <w:spacing w:line="207" w:lineRule="exact"/>
              <w:ind w:left="138" w:right="85"/>
              <w:jc w:val="center"/>
              <w:rPr>
                <w:b/>
                <w:sz w:val="18"/>
              </w:rPr>
            </w:pPr>
            <w:r>
              <w:rPr>
                <w:b/>
                <w:sz w:val="18"/>
              </w:rPr>
              <w:t>July</w:t>
            </w:r>
            <w:r>
              <w:rPr>
                <w:b/>
                <w:spacing w:val="-3"/>
                <w:sz w:val="18"/>
              </w:rPr>
              <w:t> </w:t>
            </w:r>
            <w:r>
              <w:rPr>
                <w:b/>
                <w:spacing w:val="-4"/>
                <w:sz w:val="18"/>
              </w:rPr>
              <w:t>2022</w:t>
            </w:r>
          </w:p>
        </w:tc>
        <w:tc>
          <w:tcPr>
            <w:tcW w:w="1277" w:type="dxa"/>
            <w:shd w:val="clear" w:color="auto" w:fill="DEEAF6"/>
          </w:tcPr>
          <w:p>
            <w:pPr>
              <w:pStyle w:val="TableParagraph"/>
              <w:spacing w:line="207" w:lineRule="exact"/>
              <w:ind w:left="140" w:right="130"/>
              <w:jc w:val="center"/>
              <w:rPr>
                <w:b/>
                <w:sz w:val="18"/>
              </w:rPr>
            </w:pPr>
            <w:r>
              <w:rPr>
                <w:b/>
                <w:sz w:val="18"/>
              </w:rPr>
              <w:t>Aug</w:t>
            </w:r>
            <w:r>
              <w:rPr>
                <w:b/>
                <w:spacing w:val="-4"/>
                <w:sz w:val="18"/>
              </w:rPr>
              <w:t> 2022</w:t>
            </w:r>
          </w:p>
        </w:tc>
        <w:tc>
          <w:tcPr>
            <w:tcW w:w="1246" w:type="dxa"/>
            <w:shd w:val="clear" w:color="auto" w:fill="DEEAF6"/>
          </w:tcPr>
          <w:p>
            <w:pPr>
              <w:pStyle w:val="TableParagraph"/>
              <w:spacing w:line="207" w:lineRule="exact"/>
              <w:ind w:left="249"/>
              <w:rPr>
                <w:b/>
                <w:sz w:val="18"/>
              </w:rPr>
            </w:pPr>
            <w:r>
              <w:rPr>
                <w:b/>
                <w:sz w:val="18"/>
              </w:rPr>
              <w:t>Sept</w:t>
            </w:r>
            <w:r>
              <w:rPr>
                <w:b/>
                <w:spacing w:val="-7"/>
                <w:sz w:val="18"/>
              </w:rPr>
              <w:t> </w:t>
            </w:r>
            <w:r>
              <w:rPr>
                <w:b/>
                <w:spacing w:val="-4"/>
                <w:sz w:val="18"/>
              </w:rPr>
              <w:t>2022</w:t>
            </w:r>
          </w:p>
        </w:tc>
        <w:tc>
          <w:tcPr>
            <w:tcW w:w="972" w:type="dxa"/>
            <w:shd w:val="clear" w:color="auto" w:fill="DEEAF6"/>
          </w:tcPr>
          <w:p>
            <w:pPr>
              <w:pStyle w:val="TableParagraph"/>
              <w:spacing w:line="240" w:lineRule="auto"/>
              <w:ind w:left="0"/>
              <w:rPr>
                <w:sz w:val="18"/>
              </w:rPr>
            </w:pPr>
          </w:p>
        </w:tc>
      </w:tr>
      <w:tr>
        <w:trPr>
          <w:trHeight w:val="333" w:hRule="atLeast"/>
        </w:trPr>
        <w:tc>
          <w:tcPr>
            <w:tcW w:w="3425" w:type="dxa"/>
          </w:tcPr>
          <w:p>
            <w:pPr>
              <w:pStyle w:val="TableParagraph"/>
              <w:ind w:left="234"/>
              <w:rPr>
                <w:sz w:val="18"/>
              </w:rPr>
            </w:pPr>
            <w:r>
              <w:rPr>
                <w:sz w:val="18"/>
              </w:rPr>
              <w:t>Long</w:t>
            </w:r>
            <w:r>
              <w:rPr>
                <w:spacing w:val="-4"/>
                <w:sz w:val="18"/>
              </w:rPr>
              <w:t> </w:t>
            </w:r>
            <w:r>
              <w:rPr>
                <w:sz w:val="18"/>
              </w:rPr>
              <w:t>Term</w:t>
            </w:r>
            <w:r>
              <w:rPr>
                <w:spacing w:val="-3"/>
                <w:sz w:val="18"/>
              </w:rPr>
              <w:t> </w:t>
            </w:r>
            <w:r>
              <w:rPr>
                <w:sz w:val="18"/>
              </w:rPr>
              <w:t>Government</w:t>
            </w:r>
            <w:r>
              <w:rPr>
                <w:spacing w:val="-2"/>
                <w:sz w:val="18"/>
              </w:rPr>
              <w:t> </w:t>
            </w:r>
            <w:r>
              <w:rPr>
                <w:sz w:val="18"/>
              </w:rPr>
              <w:t>Bond</w:t>
            </w:r>
            <w:r>
              <w:rPr>
                <w:spacing w:val="-1"/>
                <w:sz w:val="18"/>
              </w:rPr>
              <w:t> </w:t>
            </w:r>
            <w:r>
              <w:rPr>
                <w:sz w:val="18"/>
              </w:rPr>
              <w:t>Rates</w:t>
            </w:r>
            <w:r>
              <w:rPr>
                <w:spacing w:val="-3"/>
                <w:sz w:val="18"/>
              </w:rPr>
              <w:t> </w:t>
            </w:r>
            <w:r>
              <w:rPr>
                <w:spacing w:val="-5"/>
                <w:sz w:val="18"/>
              </w:rPr>
              <w:t>(%)</w:t>
            </w:r>
          </w:p>
        </w:tc>
        <w:tc>
          <w:tcPr>
            <w:tcW w:w="1186" w:type="dxa"/>
          </w:tcPr>
          <w:p>
            <w:pPr>
              <w:pStyle w:val="TableParagraph"/>
              <w:ind w:left="93" w:right="85"/>
              <w:jc w:val="center"/>
              <w:rPr>
                <w:sz w:val="18"/>
              </w:rPr>
            </w:pPr>
            <w:r>
              <w:rPr>
                <w:spacing w:val="-4"/>
                <w:sz w:val="18"/>
              </w:rPr>
              <w:t>8.53</w:t>
            </w:r>
          </w:p>
        </w:tc>
        <w:tc>
          <w:tcPr>
            <w:tcW w:w="1277" w:type="dxa"/>
          </w:tcPr>
          <w:p>
            <w:pPr>
              <w:pStyle w:val="TableParagraph"/>
              <w:ind w:left="138" w:right="130"/>
              <w:jc w:val="center"/>
              <w:rPr>
                <w:sz w:val="18"/>
              </w:rPr>
            </w:pPr>
            <w:r>
              <w:rPr>
                <w:spacing w:val="-4"/>
                <w:sz w:val="18"/>
              </w:rPr>
              <w:t>8.73</w:t>
            </w:r>
          </w:p>
        </w:tc>
        <w:tc>
          <w:tcPr>
            <w:tcW w:w="1246" w:type="dxa"/>
          </w:tcPr>
          <w:p>
            <w:pPr>
              <w:pStyle w:val="TableParagraph"/>
              <w:ind w:left="453" w:right="443"/>
              <w:jc w:val="center"/>
              <w:rPr>
                <w:sz w:val="18"/>
              </w:rPr>
            </w:pPr>
            <w:r>
              <w:rPr>
                <w:spacing w:val="-4"/>
                <w:sz w:val="18"/>
              </w:rPr>
              <w:t>8.73</w:t>
            </w:r>
          </w:p>
        </w:tc>
        <w:tc>
          <w:tcPr>
            <w:tcW w:w="972" w:type="dxa"/>
          </w:tcPr>
          <w:p>
            <w:pPr>
              <w:pStyle w:val="TableParagraph"/>
              <w:ind w:left="163" w:right="152"/>
              <w:jc w:val="center"/>
              <w:rPr>
                <w:sz w:val="18"/>
              </w:rPr>
            </w:pPr>
            <w:r>
              <w:rPr>
                <w:spacing w:val="-5"/>
                <w:sz w:val="18"/>
              </w:rPr>
              <w:t>BFS</w:t>
            </w:r>
          </w:p>
        </w:tc>
      </w:tr>
      <w:tr>
        <w:trPr>
          <w:trHeight w:val="311" w:hRule="atLeast"/>
        </w:trPr>
        <w:tc>
          <w:tcPr>
            <w:tcW w:w="3425" w:type="dxa"/>
            <w:shd w:val="clear" w:color="auto" w:fill="DEEAF6"/>
          </w:tcPr>
          <w:p>
            <w:pPr>
              <w:pStyle w:val="TableParagraph"/>
              <w:ind w:left="988"/>
              <w:rPr>
                <w:sz w:val="18"/>
              </w:rPr>
            </w:pPr>
            <w:r>
              <w:rPr>
                <w:sz w:val="18"/>
              </w:rPr>
              <w:t>Prime</w:t>
            </w:r>
            <w:r>
              <w:rPr>
                <w:spacing w:val="-8"/>
                <w:sz w:val="18"/>
              </w:rPr>
              <w:t> </w:t>
            </w:r>
            <w:r>
              <w:rPr>
                <w:sz w:val="18"/>
              </w:rPr>
              <w:t>Lending</w:t>
            </w:r>
            <w:r>
              <w:rPr>
                <w:spacing w:val="-7"/>
                <w:sz w:val="18"/>
              </w:rPr>
              <w:t> </w:t>
            </w:r>
            <w:r>
              <w:rPr>
                <w:spacing w:val="-4"/>
                <w:sz w:val="18"/>
              </w:rPr>
              <w:t>Rate</w:t>
            </w:r>
          </w:p>
        </w:tc>
        <w:tc>
          <w:tcPr>
            <w:tcW w:w="1186" w:type="dxa"/>
            <w:shd w:val="clear" w:color="auto" w:fill="DEEAF6"/>
          </w:tcPr>
          <w:p>
            <w:pPr>
              <w:pStyle w:val="TableParagraph"/>
              <w:ind w:left="93" w:right="85"/>
              <w:jc w:val="center"/>
              <w:rPr>
                <w:sz w:val="18"/>
              </w:rPr>
            </w:pPr>
            <w:r>
              <w:rPr>
                <w:spacing w:val="-4"/>
                <w:sz w:val="18"/>
              </w:rPr>
              <w:t>6.26</w:t>
            </w:r>
          </w:p>
        </w:tc>
        <w:tc>
          <w:tcPr>
            <w:tcW w:w="1277" w:type="dxa"/>
            <w:shd w:val="clear" w:color="auto" w:fill="DEEAF6"/>
          </w:tcPr>
          <w:p>
            <w:pPr>
              <w:pStyle w:val="TableParagraph"/>
              <w:ind w:left="138" w:right="130"/>
              <w:jc w:val="center"/>
              <w:rPr>
                <w:sz w:val="18"/>
              </w:rPr>
            </w:pPr>
            <w:r>
              <w:rPr>
                <w:spacing w:val="-4"/>
                <w:sz w:val="18"/>
              </w:rPr>
              <w:t>6.76</w:t>
            </w:r>
          </w:p>
        </w:tc>
        <w:tc>
          <w:tcPr>
            <w:tcW w:w="1246" w:type="dxa"/>
            <w:shd w:val="clear" w:color="auto" w:fill="DEEAF6"/>
          </w:tcPr>
          <w:p>
            <w:pPr>
              <w:pStyle w:val="TableParagraph"/>
              <w:ind w:left="453" w:right="443"/>
              <w:jc w:val="center"/>
              <w:rPr>
                <w:sz w:val="18"/>
              </w:rPr>
            </w:pPr>
            <w:r>
              <w:rPr>
                <w:spacing w:val="-4"/>
                <w:sz w:val="18"/>
              </w:rPr>
              <w:t>6.76</w:t>
            </w:r>
          </w:p>
        </w:tc>
        <w:tc>
          <w:tcPr>
            <w:tcW w:w="972" w:type="dxa"/>
            <w:shd w:val="clear" w:color="auto" w:fill="DEEAF6"/>
          </w:tcPr>
          <w:p>
            <w:pPr>
              <w:pStyle w:val="TableParagraph"/>
              <w:ind w:left="163" w:right="152"/>
              <w:jc w:val="center"/>
              <w:rPr>
                <w:sz w:val="18"/>
              </w:rPr>
            </w:pPr>
            <w:r>
              <w:rPr>
                <w:spacing w:val="-5"/>
                <w:sz w:val="18"/>
              </w:rPr>
              <w:t>BFS</w:t>
            </w:r>
          </w:p>
        </w:tc>
      </w:tr>
      <w:tr>
        <w:trPr>
          <w:trHeight w:val="309" w:hRule="atLeast"/>
        </w:trPr>
        <w:tc>
          <w:tcPr>
            <w:tcW w:w="3425" w:type="dxa"/>
          </w:tcPr>
          <w:p>
            <w:pPr>
              <w:pStyle w:val="TableParagraph"/>
              <w:ind w:left="604"/>
              <w:rPr>
                <w:sz w:val="18"/>
              </w:rPr>
            </w:pPr>
            <w:r>
              <w:rPr>
                <w:sz w:val="18"/>
              </w:rPr>
              <w:t>Monetary</w:t>
            </w:r>
            <w:r>
              <w:rPr>
                <w:spacing w:val="-6"/>
                <w:sz w:val="18"/>
              </w:rPr>
              <w:t> </w:t>
            </w:r>
            <w:r>
              <w:rPr>
                <w:sz w:val="18"/>
              </w:rPr>
              <w:t>Policy</w:t>
            </w:r>
            <w:r>
              <w:rPr>
                <w:spacing w:val="-5"/>
                <w:sz w:val="18"/>
              </w:rPr>
              <w:t> </w:t>
            </w:r>
            <w:r>
              <w:rPr>
                <w:sz w:val="18"/>
              </w:rPr>
              <w:t>Rate</w:t>
            </w:r>
            <w:r>
              <w:rPr>
                <w:spacing w:val="-1"/>
                <w:sz w:val="18"/>
              </w:rPr>
              <w:t> </w:t>
            </w:r>
            <w:r>
              <w:rPr>
                <w:spacing w:val="-2"/>
                <w:sz w:val="18"/>
              </w:rPr>
              <w:t>(MoPR)</w:t>
            </w:r>
          </w:p>
        </w:tc>
        <w:tc>
          <w:tcPr>
            <w:tcW w:w="1186" w:type="dxa"/>
          </w:tcPr>
          <w:p>
            <w:pPr>
              <w:pStyle w:val="TableParagraph"/>
              <w:ind w:left="93" w:right="85"/>
              <w:jc w:val="center"/>
              <w:rPr>
                <w:sz w:val="18"/>
              </w:rPr>
            </w:pPr>
            <w:r>
              <w:rPr>
                <w:spacing w:val="-4"/>
                <w:sz w:val="18"/>
              </w:rPr>
              <w:t>2.15</w:t>
            </w:r>
          </w:p>
        </w:tc>
        <w:tc>
          <w:tcPr>
            <w:tcW w:w="1277" w:type="dxa"/>
          </w:tcPr>
          <w:p>
            <w:pPr>
              <w:pStyle w:val="TableParagraph"/>
              <w:ind w:left="138" w:right="130"/>
              <w:jc w:val="center"/>
              <w:rPr>
                <w:sz w:val="18"/>
              </w:rPr>
            </w:pPr>
            <w:r>
              <w:rPr>
                <w:spacing w:val="-4"/>
                <w:sz w:val="18"/>
              </w:rPr>
              <w:t>2.65</w:t>
            </w:r>
          </w:p>
        </w:tc>
        <w:tc>
          <w:tcPr>
            <w:tcW w:w="1246" w:type="dxa"/>
          </w:tcPr>
          <w:p>
            <w:pPr>
              <w:pStyle w:val="TableParagraph"/>
              <w:ind w:left="453" w:right="443"/>
              <w:jc w:val="center"/>
              <w:rPr>
                <w:sz w:val="18"/>
              </w:rPr>
            </w:pPr>
            <w:r>
              <w:rPr>
                <w:spacing w:val="-4"/>
                <w:sz w:val="18"/>
              </w:rPr>
              <w:t>2.65</w:t>
            </w:r>
          </w:p>
        </w:tc>
        <w:tc>
          <w:tcPr>
            <w:tcW w:w="972" w:type="dxa"/>
          </w:tcPr>
          <w:p>
            <w:pPr>
              <w:pStyle w:val="TableParagraph"/>
              <w:ind w:left="160" w:right="153"/>
              <w:jc w:val="center"/>
              <w:rPr>
                <w:sz w:val="18"/>
              </w:rPr>
            </w:pPr>
            <w:r>
              <w:rPr>
                <w:spacing w:val="-5"/>
                <w:sz w:val="18"/>
              </w:rPr>
              <w:t>BoB</w:t>
            </w:r>
          </w:p>
        </w:tc>
      </w:tr>
      <w:tr>
        <w:trPr>
          <w:trHeight w:val="311" w:hRule="atLeast"/>
        </w:trPr>
        <w:tc>
          <w:tcPr>
            <w:tcW w:w="3425" w:type="dxa"/>
            <w:shd w:val="clear" w:color="auto" w:fill="DEEAF6"/>
          </w:tcPr>
          <w:p>
            <w:pPr>
              <w:pStyle w:val="TableParagraph"/>
              <w:spacing w:line="207" w:lineRule="exact"/>
              <w:rPr>
                <w:b/>
                <w:sz w:val="18"/>
              </w:rPr>
            </w:pPr>
            <w:r>
              <w:rPr>
                <w:b/>
                <w:sz w:val="18"/>
              </w:rPr>
              <w:t>Botswana</w:t>
            </w:r>
            <w:r>
              <w:rPr>
                <w:b/>
                <w:spacing w:val="-8"/>
                <w:sz w:val="18"/>
              </w:rPr>
              <w:t> </w:t>
            </w:r>
            <w:r>
              <w:rPr>
                <w:b/>
                <w:sz w:val="18"/>
              </w:rPr>
              <w:t>Stock</w:t>
            </w:r>
            <w:r>
              <w:rPr>
                <w:b/>
                <w:spacing w:val="-9"/>
                <w:sz w:val="18"/>
              </w:rPr>
              <w:t> </w:t>
            </w:r>
            <w:r>
              <w:rPr>
                <w:b/>
                <w:spacing w:val="-2"/>
                <w:sz w:val="18"/>
              </w:rPr>
              <w:t>Exchange</w:t>
            </w:r>
          </w:p>
        </w:tc>
        <w:tc>
          <w:tcPr>
            <w:tcW w:w="1186" w:type="dxa"/>
            <w:shd w:val="clear" w:color="auto" w:fill="DEEAF6"/>
          </w:tcPr>
          <w:p>
            <w:pPr>
              <w:pStyle w:val="TableParagraph"/>
              <w:spacing w:line="207" w:lineRule="exact"/>
              <w:ind w:left="138" w:right="85"/>
              <w:jc w:val="center"/>
              <w:rPr>
                <w:b/>
                <w:sz w:val="18"/>
              </w:rPr>
            </w:pPr>
            <w:r>
              <w:rPr>
                <w:b/>
                <w:sz w:val="18"/>
              </w:rPr>
              <w:t>July</w:t>
            </w:r>
            <w:r>
              <w:rPr>
                <w:b/>
                <w:spacing w:val="-3"/>
                <w:sz w:val="18"/>
              </w:rPr>
              <w:t> </w:t>
            </w:r>
            <w:r>
              <w:rPr>
                <w:b/>
                <w:spacing w:val="-4"/>
                <w:sz w:val="18"/>
              </w:rPr>
              <w:t>2022</w:t>
            </w:r>
          </w:p>
        </w:tc>
        <w:tc>
          <w:tcPr>
            <w:tcW w:w="1277" w:type="dxa"/>
            <w:shd w:val="clear" w:color="auto" w:fill="DEEAF6"/>
          </w:tcPr>
          <w:p>
            <w:pPr>
              <w:pStyle w:val="TableParagraph"/>
              <w:spacing w:line="207" w:lineRule="exact"/>
              <w:ind w:left="140" w:right="130"/>
              <w:jc w:val="center"/>
              <w:rPr>
                <w:b/>
                <w:sz w:val="18"/>
              </w:rPr>
            </w:pPr>
            <w:r>
              <w:rPr>
                <w:b/>
                <w:sz w:val="18"/>
              </w:rPr>
              <w:t>Aug</w:t>
            </w:r>
            <w:r>
              <w:rPr>
                <w:b/>
                <w:spacing w:val="-4"/>
                <w:sz w:val="18"/>
              </w:rPr>
              <w:t> 2022</w:t>
            </w:r>
          </w:p>
        </w:tc>
        <w:tc>
          <w:tcPr>
            <w:tcW w:w="1246" w:type="dxa"/>
            <w:shd w:val="clear" w:color="auto" w:fill="DEEAF6"/>
          </w:tcPr>
          <w:p>
            <w:pPr>
              <w:pStyle w:val="TableParagraph"/>
              <w:spacing w:line="207" w:lineRule="exact"/>
              <w:ind w:left="249"/>
              <w:rPr>
                <w:b/>
                <w:sz w:val="18"/>
              </w:rPr>
            </w:pPr>
            <w:r>
              <w:rPr>
                <w:b/>
                <w:sz w:val="18"/>
              </w:rPr>
              <w:t>Sept</w:t>
            </w:r>
            <w:r>
              <w:rPr>
                <w:b/>
                <w:spacing w:val="-7"/>
                <w:sz w:val="18"/>
              </w:rPr>
              <w:t> </w:t>
            </w:r>
            <w:r>
              <w:rPr>
                <w:b/>
                <w:spacing w:val="-4"/>
                <w:sz w:val="18"/>
              </w:rPr>
              <w:t>2022</w:t>
            </w:r>
          </w:p>
        </w:tc>
        <w:tc>
          <w:tcPr>
            <w:tcW w:w="972" w:type="dxa"/>
            <w:shd w:val="clear" w:color="auto" w:fill="DEEAF6"/>
          </w:tcPr>
          <w:p>
            <w:pPr>
              <w:pStyle w:val="TableParagraph"/>
              <w:spacing w:line="240" w:lineRule="auto"/>
              <w:ind w:left="0"/>
              <w:rPr>
                <w:sz w:val="18"/>
              </w:rPr>
            </w:pPr>
          </w:p>
        </w:tc>
      </w:tr>
      <w:tr>
        <w:trPr>
          <w:trHeight w:val="309" w:hRule="atLeast"/>
        </w:trPr>
        <w:tc>
          <w:tcPr>
            <w:tcW w:w="3425" w:type="dxa"/>
          </w:tcPr>
          <w:p>
            <w:pPr>
              <w:pStyle w:val="TableParagraph"/>
              <w:ind w:left="767"/>
              <w:rPr>
                <w:sz w:val="18"/>
              </w:rPr>
            </w:pPr>
            <w:r>
              <w:rPr>
                <w:sz w:val="18"/>
              </w:rPr>
              <w:t>Domestic</w:t>
            </w:r>
            <w:r>
              <w:rPr>
                <w:spacing w:val="-5"/>
                <w:sz w:val="18"/>
              </w:rPr>
              <w:t> </w:t>
            </w:r>
            <w:r>
              <w:rPr>
                <w:sz w:val="18"/>
              </w:rPr>
              <w:t>Company</w:t>
            </w:r>
            <w:r>
              <w:rPr>
                <w:spacing w:val="-7"/>
                <w:sz w:val="18"/>
              </w:rPr>
              <w:t> </w:t>
            </w:r>
            <w:r>
              <w:rPr>
                <w:spacing w:val="-4"/>
                <w:sz w:val="18"/>
              </w:rPr>
              <w:t>Index</w:t>
            </w:r>
          </w:p>
        </w:tc>
        <w:tc>
          <w:tcPr>
            <w:tcW w:w="1186" w:type="dxa"/>
          </w:tcPr>
          <w:p>
            <w:pPr>
              <w:pStyle w:val="TableParagraph"/>
              <w:ind w:left="92" w:right="85"/>
              <w:jc w:val="center"/>
              <w:rPr>
                <w:sz w:val="18"/>
              </w:rPr>
            </w:pPr>
            <w:r>
              <w:rPr>
                <w:sz w:val="18"/>
              </w:rPr>
              <w:t>7</w:t>
            </w:r>
            <w:r>
              <w:rPr>
                <w:spacing w:val="1"/>
                <w:sz w:val="18"/>
              </w:rPr>
              <w:t> </w:t>
            </w:r>
            <w:r>
              <w:rPr>
                <w:spacing w:val="-2"/>
                <w:sz w:val="18"/>
              </w:rPr>
              <w:t>254.4</w:t>
            </w:r>
          </w:p>
        </w:tc>
        <w:tc>
          <w:tcPr>
            <w:tcW w:w="1277" w:type="dxa"/>
          </w:tcPr>
          <w:p>
            <w:pPr>
              <w:pStyle w:val="TableParagraph"/>
              <w:ind w:left="138" w:right="130"/>
              <w:jc w:val="center"/>
              <w:rPr>
                <w:sz w:val="18"/>
              </w:rPr>
            </w:pPr>
            <w:r>
              <w:rPr>
                <w:sz w:val="18"/>
              </w:rPr>
              <w:t>7</w:t>
            </w:r>
            <w:r>
              <w:rPr>
                <w:spacing w:val="1"/>
                <w:sz w:val="18"/>
              </w:rPr>
              <w:t> </w:t>
            </w:r>
            <w:r>
              <w:rPr>
                <w:spacing w:val="-2"/>
                <w:sz w:val="18"/>
              </w:rPr>
              <w:t>364.8</w:t>
            </w:r>
          </w:p>
        </w:tc>
        <w:tc>
          <w:tcPr>
            <w:tcW w:w="1246" w:type="dxa"/>
          </w:tcPr>
          <w:p>
            <w:pPr>
              <w:pStyle w:val="TableParagraph"/>
              <w:ind w:left="352"/>
              <w:rPr>
                <w:sz w:val="18"/>
              </w:rPr>
            </w:pPr>
            <w:r>
              <w:rPr>
                <w:sz w:val="18"/>
              </w:rPr>
              <w:t>7</w:t>
            </w:r>
            <w:r>
              <w:rPr>
                <w:spacing w:val="1"/>
                <w:sz w:val="18"/>
              </w:rPr>
              <w:t> </w:t>
            </w:r>
            <w:r>
              <w:rPr>
                <w:spacing w:val="-2"/>
                <w:sz w:val="18"/>
              </w:rPr>
              <w:t>401.8</w:t>
            </w:r>
          </w:p>
        </w:tc>
        <w:tc>
          <w:tcPr>
            <w:tcW w:w="972" w:type="dxa"/>
          </w:tcPr>
          <w:p>
            <w:pPr>
              <w:pStyle w:val="TableParagraph"/>
              <w:ind w:left="163" w:right="152"/>
              <w:jc w:val="center"/>
              <w:rPr>
                <w:sz w:val="18"/>
              </w:rPr>
            </w:pPr>
            <w:r>
              <w:rPr>
                <w:spacing w:val="-5"/>
                <w:sz w:val="18"/>
              </w:rPr>
              <w:t>BFS</w:t>
            </w:r>
          </w:p>
        </w:tc>
      </w:tr>
      <w:tr>
        <w:trPr>
          <w:trHeight w:val="311" w:hRule="atLeast"/>
        </w:trPr>
        <w:tc>
          <w:tcPr>
            <w:tcW w:w="3425" w:type="dxa"/>
            <w:shd w:val="clear" w:color="auto" w:fill="DEEAF6"/>
          </w:tcPr>
          <w:p>
            <w:pPr>
              <w:pStyle w:val="TableParagraph"/>
              <w:ind w:left="832"/>
              <w:rPr>
                <w:sz w:val="18"/>
              </w:rPr>
            </w:pPr>
            <w:r>
              <w:rPr>
                <w:sz w:val="18"/>
              </w:rPr>
              <w:t>Foreign</w:t>
            </w:r>
            <w:r>
              <w:rPr>
                <w:spacing w:val="-4"/>
                <w:sz w:val="18"/>
              </w:rPr>
              <w:t> </w:t>
            </w:r>
            <w:r>
              <w:rPr>
                <w:sz w:val="18"/>
              </w:rPr>
              <w:t>Company</w:t>
            </w:r>
            <w:r>
              <w:rPr>
                <w:spacing w:val="-6"/>
                <w:sz w:val="18"/>
              </w:rPr>
              <w:t> </w:t>
            </w:r>
            <w:r>
              <w:rPr>
                <w:spacing w:val="-4"/>
                <w:sz w:val="18"/>
              </w:rPr>
              <w:t>Index</w:t>
            </w:r>
          </w:p>
        </w:tc>
        <w:tc>
          <w:tcPr>
            <w:tcW w:w="1186" w:type="dxa"/>
            <w:shd w:val="clear" w:color="auto" w:fill="DEEAF6"/>
          </w:tcPr>
          <w:p>
            <w:pPr>
              <w:pStyle w:val="TableParagraph"/>
              <w:ind w:left="92" w:right="85"/>
              <w:jc w:val="center"/>
              <w:rPr>
                <w:sz w:val="18"/>
              </w:rPr>
            </w:pPr>
            <w:r>
              <w:rPr>
                <w:sz w:val="18"/>
              </w:rPr>
              <w:t>1</w:t>
            </w:r>
            <w:r>
              <w:rPr>
                <w:spacing w:val="1"/>
                <w:sz w:val="18"/>
              </w:rPr>
              <w:t> </w:t>
            </w:r>
            <w:r>
              <w:rPr>
                <w:spacing w:val="-2"/>
                <w:sz w:val="18"/>
              </w:rPr>
              <w:t>560.3</w:t>
            </w:r>
          </w:p>
        </w:tc>
        <w:tc>
          <w:tcPr>
            <w:tcW w:w="1277" w:type="dxa"/>
            <w:shd w:val="clear" w:color="auto" w:fill="DEEAF6"/>
          </w:tcPr>
          <w:p>
            <w:pPr>
              <w:pStyle w:val="TableParagraph"/>
              <w:ind w:left="138" w:right="130"/>
              <w:jc w:val="center"/>
              <w:rPr>
                <w:sz w:val="18"/>
              </w:rPr>
            </w:pPr>
            <w:r>
              <w:rPr>
                <w:sz w:val="18"/>
              </w:rPr>
              <w:t>1</w:t>
            </w:r>
            <w:r>
              <w:rPr>
                <w:spacing w:val="1"/>
                <w:sz w:val="18"/>
              </w:rPr>
              <w:t> </w:t>
            </w:r>
            <w:r>
              <w:rPr>
                <w:spacing w:val="-2"/>
                <w:sz w:val="18"/>
              </w:rPr>
              <w:t>560.3</w:t>
            </w:r>
          </w:p>
        </w:tc>
        <w:tc>
          <w:tcPr>
            <w:tcW w:w="1246" w:type="dxa"/>
            <w:shd w:val="clear" w:color="auto" w:fill="DEEAF6"/>
          </w:tcPr>
          <w:p>
            <w:pPr>
              <w:pStyle w:val="TableParagraph"/>
              <w:ind w:left="352"/>
              <w:rPr>
                <w:sz w:val="18"/>
              </w:rPr>
            </w:pPr>
            <w:r>
              <w:rPr>
                <w:sz w:val="18"/>
              </w:rPr>
              <w:t>1</w:t>
            </w:r>
            <w:r>
              <w:rPr>
                <w:spacing w:val="1"/>
                <w:sz w:val="18"/>
              </w:rPr>
              <w:t> </w:t>
            </w:r>
            <w:r>
              <w:rPr>
                <w:spacing w:val="-2"/>
                <w:sz w:val="18"/>
              </w:rPr>
              <w:t>561.4</w:t>
            </w:r>
          </w:p>
        </w:tc>
        <w:tc>
          <w:tcPr>
            <w:tcW w:w="972" w:type="dxa"/>
            <w:shd w:val="clear" w:color="auto" w:fill="DEEAF6"/>
          </w:tcPr>
          <w:p>
            <w:pPr>
              <w:pStyle w:val="TableParagraph"/>
              <w:ind w:left="163" w:right="152"/>
              <w:jc w:val="center"/>
              <w:rPr>
                <w:sz w:val="18"/>
              </w:rPr>
            </w:pPr>
            <w:r>
              <w:rPr>
                <w:spacing w:val="-5"/>
                <w:sz w:val="18"/>
              </w:rPr>
              <w:t>BFS</w:t>
            </w:r>
          </w:p>
        </w:tc>
      </w:tr>
      <w:tr>
        <w:trPr>
          <w:trHeight w:val="309" w:hRule="atLeast"/>
        </w:trPr>
        <w:tc>
          <w:tcPr>
            <w:tcW w:w="3425" w:type="dxa"/>
          </w:tcPr>
          <w:p>
            <w:pPr>
              <w:pStyle w:val="TableParagraph"/>
              <w:spacing w:line="207" w:lineRule="exact"/>
              <w:rPr>
                <w:b/>
                <w:sz w:val="18"/>
              </w:rPr>
            </w:pPr>
            <w:r>
              <w:rPr>
                <w:b/>
                <w:sz w:val="18"/>
              </w:rPr>
              <w:t>Currency</w:t>
            </w:r>
            <w:r>
              <w:rPr>
                <w:b/>
                <w:spacing w:val="-4"/>
                <w:sz w:val="18"/>
              </w:rPr>
              <w:t> </w:t>
            </w:r>
            <w:r>
              <w:rPr>
                <w:b/>
                <w:sz w:val="18"/>
              </w:rPr>
              <w:t>in</w:t>
            </w:r>
            <w:r>
              <w:rPr>
                <w:b/>
                <w:spacing w:val="-5"/>
                <w:sz w:val="18"/>
              </w:rPr>
              <w:t> </w:t>
            </w:r>
            <w:r>
              <w:rPr>
                <w:b/>
                <w:sz w:val="18"/>
              </w:rPr>
              <w:t>Circulation</w:t>
            </w:r>
            <w:r>
              <w:rPr>
                <w:b/>
                <w:spacing w:val="-7"/>
                <w:sz w:val="18"/>
              </w:rPr>
              <w:t> </w:t>
            </w:r>
            <w:r>
              <w:rPr>
                <w:b/>
                <w:sz w:val="18"/>
              </w:rPr>
              <w:t>(million</w:t>
            </w:r>
            <w:r>
              <w:rPr>
                <w:b/>
                <w:spacing w:val="-6"/>
                <w:sz w:val="18"/>
              </w:rPr>
              <w:t> </w:t>
            </w:r>
            <w:r>
              <w:rPr>
                <w:b/>
                <w:spacing w:val="-4"/>
                <w:sz w:val="18"/>
              </w:rPr>
              <w:t>Pula)</w:t>
            </w:r>
          </w:p>
        </w:tc>
        <w:tc>
          <w:tcPr>
            <w:tcW w:w="1186" w:type="dxa"/>
          </w:tcPr>
          <w:p>
            <w:pPr>
              <w:pStyle w:val="TableParagraph"/>
              <w:spacing w:line="207" w:lineRule="exact"/>
              <w:ind w:left="95" w:right="85"/>
              <w:jc w:val="center"/>
              <w:rPr>
                <w:b/>
                <w:sz w:val="18"/>
              </w:rPr>
            </w:pPr>
            <w:r>
              <w:rPr>
                <w:b/>
                <w:sz w:val="18"/>
              </w:rPr>
              <w:t>July</w:t>
            </w:r>
            <w:r>
              <w:rPr>
                <w:b/>
                <w:spacing w:val="-3"/>
                <w:sz w:val="18"/>
              </w:rPr>
              <w:t> </w:t>
            </w:r>
            <w:r>
              <w:rPr>
                <w:b/>
                <w:spacing w:val="-4"/>
                <w:sz w:val="18"/>
              </w:rPr>
              <w:t>2022</w:t>
            </w:r>
          </w:p>
        </w:tc>
        <w:tc>
          <w:tcPr>
            <w:tcW w:w="1277" w:type="dxa"/>
          </w:tcPr>
          <w:p>
            <w:pPr>
              <w:pStyle w:val="TableParagraph"/>
              <w:spacing w:line="207" w:lineRule="exact"/>
              <w:ind w:left="140" w:right="130"/>
              <w:jc w:val="center"/>
              <w:rPr>
                <w:b/>
                <w:sz w:val="18"/>
              </w:rPr>
            </w:pPr>
            <w:r>
              <w:rPr>
                <w:b/>
                <w:sz w:val="18"/>
              </w:rPr>
              <w:t>Aug</w:t>
            </w:r>
            <w:r>
              <w:rPr>
                <w:b/>
                <w:spacing w:val="-4"/>
                <w:sz w:val="18"/>
              </w:rPr>
              <w:t> 2022</w:t>
            </w:r>
          </w:p>
        </w:tc>
        <w:tc>
          <w:tcPr>
            <w:tcW w:w="1246" w:type="dxa"/>
          </w:tcPr>
          <w:p>
            <w:pPr>
              <w:pStyle w:val="TableParagraph"/>
              <w:spacing w:line="207" w:lineRule="exact"/>
              <w:ind w:left="311"/>
              <w:rPr>
                <w:b/>
                <w:sz w:val="18"/>
              </w:rPr>
            </w:pPr>
            <w:r>
              <w:rPr>
                <w:b/>
                <w:spacing w:val="-2"/>
                <w:sz w:val="18"/>
              </w:rPr>
              <w:t>Spt2022</w:t>
            </w:r>
          </w:p>
        </w:tc>
        <w:tc>
          <w:tcPr>
            <w:tcW w:w="972" w:type="dxa"/>
          </w:tcPr>
          <w:p>
            <w:pPr>
              <w:pStyle w:val="TableParagraph"/>
              <w:spacing w:line="240" w:lineRule="auto"/>
              <w:ind w:left="0"/>
              <w:rPr>
                <w:sz w:val="18"/>
              </w:rPr>
            </w:pPr>
          </w:p>
        </w:tc>
      </w:tr>
      <w:tr>
        <w:trPr>
          <w:trHeight w:val="311" w:hRule="atLeast"/>
        </w:trPr>
        <w:tc>
          <w:tcPr>
            <w:tcW w:w="3425" w:type="dxa"/>
            <w:shd w:val="clear" w:color="auto" w:fill="DEEAF6"/>
          </w:tcPr>
          <w:p>
            <w:pPr>
              <w:pStyle w:val="TableParagraph"/>
              <w:ind w:left="1148" w:right="1139"/>
              <w:jc w:val="center"/>
              <w:rPr>
                <w:sz w:val="18"/>
              </w:rPr>
            </w:pPr>
            <w:r>
              <w:rPr>
                <w:spacing w:val="-2"/>
                <w:sz w:val="18"/>
              </w:rPr>
              <w:t>Notes</w:t>
            </w:r>
          </w:p>
        </w:tc>
        <w:tc>
          <w:tcPr>
            <w:tcW w:w="1186" w:type="dxa"/>
            <w:shd w:val="clear" w:color="auto" w:fill="DEEAF6"/>
          </w:tcPr>
          <w:p>
            <w:pPr>
              <w:pStyle w:val="TableParagraph"/>
              <w:ind w:left="92" w:right="85"/>
              <w:jc w:val="center"/>
              <w:rPr>
                <w:sz w:val="18"/>
              </w:rPr>
            </w:pPr>
            <w:r>
              <w:rPr>
                <w:sz w:val="18"/>
              </w:rPr>
              <w:t>3</w:t>
            </w:r>
            <w:r>
              <w:rPr>
                <w:spacing w:val="1"/>
                <w:sz w:val="18"/>
              </w:rPr>
              <w:t> </w:t>
            </w:r>
            <w:r>
              <w:rPr>
                <w:spacing w:val="-2"/>
                <w:sz w:val="18"/>
              </w:rPr>
              <w:t>699.3</w:t>
            </w:r>
          </w:p>
        </w:tc>
        <w:tc>
          <w:tcPr>
            <w:tcW w:w="1277" w:type="dxa"/>
            <w:shd w:val="clear" w:color="auto" w:fill="DEEAF6"/>
          </w:tcPr>
          <w:p>
            <w:pPr>
              <w:pStyle w:val="TableParagraph"/>
              <w:ind w:left="138" w:right="130"/>
              <w:jc w:val="center"/>
              <w:rPr>
                <w:sz w:val="18"/>
              </w:rPr>
            </w:pPr>
            <w:r>
              <w:rPr>
                <w:sz w:val="18"/>
              </w:rPr>
              <w:t>3</w:t>
            </w:r>
            <w:r>
              <w:rPr>
                <w:spacing w:val="1"/>
                <w:sz w:val="18"/>
              </w:rPr>
              <w:t> </w:t>
            </w:r>
            <w:r>
              <w:rPr>
                <w:spacing w:val="-2"/>
                <w:sz w:val="18"/>
              </w:rPr>
              <w:t>567.4</w:t>
            </w:r>
          </w:p>
        </w:tc>
        <w:tc>
          <w:tcPr>
            <w:tcW w:w="1246" w:type="dxa"/>
            <w:shd w:val="clear" w:color="auto" w:fill="DEEAF6"/>
          </w:tcPr>
          <w:p>
            <w:pPr>
              <w:pStyle w:val="TableParagraph"/>
              <w:ind w:left="352"/>
              <w:rPr>
                <w:sz w:val="18"/>
              </w:rPr>
            </w:pPr>
            <w:r>
              <w:rPr>
                <w:sz w:val="18"/>
              </w:rPr>
              <w:t>3</w:t>
            </w:r>
            <w:r>
              <w:rPr>
                <w:spacing w:val="1"/>
                <w:sz w:val="18"/>
              </w:rPr>
              <w:t> </w:t>
            </w:r>
            <w:r>
              <w:rPr>
                <w:spacing w:val="-2"/>
                <w:sz w:val="18"/>
              </w:rPr>
              <w:t>681.4</w:t>
            </w:r>
          </w:p>
        </w:tc>
        <w:tc>
          <w:tcPr>
            <w:tcW w:w="972" w:type="dxa"/>
            <w:shd w:val="clear" w:color="auto" w:fill="DEEAF6"/>
          </w:tcPr>
          <w:p>
            <w:pPr>
              <w:pStyle w:val="TableParagraph"/>
              <w:ind w:left="163" w:right="152"/>
              <w:jc w:val="center"/>
              <w:rPr>
                <w:sz w:val="18"/>
              </w:rPr>
            </w:pPr>
            <w:r>
              <w:rPr>
                <w:spacing w:val="-5"/>
                <w:sz w:val="18"/>
              </w:rPr>
              <w:t>BFS</w:t>
            </w:r>
          </w:p>
        </w:tc>
      </w:tr>
      <w:tr>
        <w:trPr>
          <w:trHeight w:val="462" w:hRule="atLeast"/>
        </w:trPr>
        <w:tc>
          <w:tcPr>
            <w:tcW w:w="3425" w:type="dxa"/>
          </w:tcPr>
          <w:p>
            <w:pPr>
              <w:pStyle w:val="TableParagraph"/>
              <w:ind w:left="1150" w:right="1139"/>
              <w:jc w:val="center"/>
              <w:rPr>
                <w:sz w:val="18"/>
              </w:rPr>
            </w:pPr>
            <w:r>
              <w:rPr>
                <w:spacing w:val="-2"/>
                <w:sz w:val="18"/>
              </w:rPr>
              <w:t>Coins</w:t>
            </w:r>
          </w:p>
        </w:tc>
        <w:tc>
          <w:tcPr>
            <w:tcW w:w="1186" w:type="dxa"/>
          </w:tcPr>
          <w:p>
            <w:pPr>
              <w:pStyle w:val="TableParagraph"/>
              <w:ind w:left="93" w:right="85"/>
              <w:jc w:val="center"/>
              <w:rPr>
                <w:sz w:val="18"/>
              </w:rPr>
            </w:pPr>
            <w:r>
              <w:rPr>
                <w:spacing w:val="-2"/>
                <w:sz w:val="18"/>
              </w:rPr>
              <w:t>128.6</w:t>
            </w:r>
          </w:p>
        </w:tc>
        <w:tc>
          <w:tcPr>
            <w:tcW w:w="1277" w:type="dxa"/>
          </w:tcPr>
          <w:p>
            <w:pPr>
              <w:pStyle w:val="TableParagraph"/>
              <w:ind w:left="138" w:right="130"/>
              <w:jc w:val="center"/>
              <w:rPr>
                <w:sz w:val="18"/>
              </w:rPr>
            </w:pPr>
            <w:r>
              <w:rPr>
                <w:spacing w:val="-2"/>
                <w:sz w:val="18"/>
              </w:rPr>
              <w:t>128.7</w:t>
            </w:r>
          </w:p>
        </w:tc>
        <w:tc>
          <w:tcPr>
            <w:tcW w:w="1246" w:type="dxa"/>
          </w:tcPr>
          <w:p>
            <w:pPr>
              <w:pStyle w:val="TableParagraph"/>
              <w:ind w:left="419"/>
              <w:rPr>
                <w:sz w:val="18"/>
              </w:rPr>
            </w:pPr>
            <w:r>
              <w:rPr>
                <w:spacing w:val="-2"/>
                <w:sz w:val="18"/>
              </w:rPr>
              <w:t>130.7</w:t>
            </w:r>
          </w:p>
        </w:tc>
        <w:tc>
          <w:tcPr>
            <w:tcW w:w="972" w:type="dxa"/>
          </w:tcPr>
          <w:p>
            <w:pPr>
              <w:pStyle w:val="TableParagraph"/>
              <w:ind w:left="163" w:right="152"/>
              <w:jc w:val="center"/>
              <w:rPr>
                <w:sz w:val="18"/>
              </w:rPr>
            </w:pPr>
            <w:r>
              <w:rPr>
                <w:spacing w:val="-5"/>
                <w:sz w:val="18"/>
              </w:rPr>
              <w:t>BFS</w:t>
            </w:r>
          </w:p>
        </w:tc>
      </w:tr>
      <w:tr>
        <w:trPr>
          <w:trHeight w:val="309" w:hRule="atLeast"/>
        </w:trPr>
        <w:tc>
          <w:tcPr>
            <w:tcW w:w="3425" w:type="dxa"/>
            <w:shd w:val="clear" w:color="auto" w:fill="DEEAF6"/>
          </w:tcPr>
          <w:p>
            <w:pPr>
              <w:pStyle w:val="TableParagraph"/>
              <w:spacing w:line="207" w:lineRule="exact"/>
              <w:ind w:left="153"/>
              <w:rPr>
                <w:b/>
                <w:sz w:val="18"/>
              </w:rPr>
            </w:pPr>
            <w:r>
              <w:rPr>
                <w:b/>
                <w:sz w:val="18"/>
              </w:rPr>
              <w:t>Debt</w:t>
            </w:r>
            <w:r>
              <w:rPr>
                <w:b/>
                <w:spacing w:val="-8"/>
                <w:sz w:val="18"/>
              </w:rPr>
              <w:t> </w:t>
            </w:r>
            <w:r>
              <w:rPr>
                <w:b/>
                <w:sz w:val="18"/>
              </w:rPr>
              <w:t>(million</w:t>
            </w:r>
            <w:r>
              <w:rPr>
                <w:b/>
                <w:spacing w:val="-10"/>
                <w:sz w:val="18"/>
              </w:rPr>
              <w:t> </w:t>
            </w:r>
            <w:r>
              <w:rPr>
                <w:b/>
                <w:spacing w:val="-4"/>
                <w:sz w:val="18"/>
              </w:rPr>
              <w:t>Pula)</w:t>
            </w:r>
          </w:p>
        </w:tc>
        <w:tc>
          <w:tcPr>
            <w:tcW w:w="1186" w:type="dxa"/>
            <w:shd w:val="clear" w:color="auto" w:fill="DEEAF6"/>
          </w:tcPr>
          <w:p>
            <w:pPr>
              <w:pStyle w:val="TableParagraph"/>
              <w:spacing w:line="207" w:lineRule="exact"/>
              <w:ind w:left="95" w:right="85"/>
              <w:jc w:val="center"/>
              <w:rPr>
                <w:b/>
                <w:sz w:val="18"/>
              </w:rPr>
            </w:pPr>
            <w:r>
              <w:rPr>
                <w:b/>
                <w:spacing w:val="-2"/>
                <w:sz w:val="18"/>
              </w:rPr>
              <w:t>2021/22Q4</w:t>
            </w:r>
          </w:p>
        </w:tc>
        <w:tc>
          <w:tcPr>
            <w:tcW w:w="1277" w:type="dxa"/>
            <w:shd w:val="clear" w:color="auto" w:fill="DEEAF6"/>
          </w:tcPr>
          <w:p>
            <w:pPr>
              <w:pStyle w:val="TableParagraph"/>
              <w:spacing w:line="207" w:lineRule="exact"/>
              <w:ind w:left="140" w:right="130"/>
              <w:jc w:val="center"/>
              <w:rPr>
                <w:b/>
                <w:sz w:val="18"/>
              </w:rPr>
            </w:pPr>
            <w:r>
              <w:rPr>
                <w:b/>
                <w:spacing w:val="-2"/>
                <w:sz w:val="18"/>
              </w:rPr>
              <w:t>2022/23Q1</w:t>
            </w:r>
          </w:p>
        </w:tc>
        <w:tc>
          <w:tcPr>
            <w:tcW w:w="1246" w:type="dxa"/>
            <w:shd w:val="clear" w:color="auto" w:fill="DEEAF6"/>
          </w:tcPr>
          <w:p>
            <w:pPr>
              <w:pStyle w:val="TableParagraph"/>
              <w:spacing w:line="207" w:lineRule="exact"/>
              <w:ind w:left="211"/>
              <w:rPr>
                <w:b/>
                <w:sz w:val="18"/>
              </w:rPr>
            </w:pPr>
            <w:r>
              <w:rPr>
                <w:b/>
                <w:spacing w:val="-2"/>
                <w:sz w:val="18"/>
              </w:rPr>
              <w:t>2022/23Q2</w:t>
            </w:r>
          </w:p>
        </w:tc>
        <w:tc>
          <w:tcPr>
            <w:tcW w:w="972" w:type="dxa"/>
            <w:shd w:val="clear" w:color="auto" w:fill="DEEAF6"/>
          </w:tcPr>
          <w:p>
            <w:pPr>
              <w:pStyle w:val="TableParagraph"/>
              <w:spacing w:line="240" w:lineRule="auto"/>
              <w:ind w:left="0"/>
              <w:rPr>
                <w:sz w:val="18"/>
              </w:rPr>
            </w:pPr>
          </w:p>
        </w:tc>
      </w:tr>
      <w:tr>
        <w:trPr>
          <w:trHeight w:val="311" w:hRule="atLeast"/>
        </w:trPr>
        <w:tc>
          <w:tcPr>
            <w:tcW w:w="3425" w:type="dxa"/>
          </w:tcPr>
          <w:p>
            <w:pPr>
              <w:pStyle w:val="TableParagraph"/>
              <w:spacing w:line="204" w:lineRule="exact"/>
              <w:ind w:left="942"/>
              <w:rPr>
                <w:sz w:val="18"/>
              </w:rPr>
            </w:pPr>
            <w:r>
              <w:rPr>
                <w:sz w:val="18"/>
              </w:rPr>
              <w:t>Domestic</w:t>
            </w:r>
            <w:r>
              <w:rPr>
                <w:spacing w:val="-5"/>
                <w:sz w:val="18"/>
              </w:rPr>
              <w:t> </w:t>
            </w:r>
            <w:r>
              <w:rPr>
                <w:sz w:val="18"/>
              </w:rPr>
              <w:t>Debt</w:t>
            </w:r>
            <w:r>
              <w:rPr>
                <w:spacing w:val="-5"/>
                <w:sz w:val="18"/>
              </w:rPr>
              <w:t> </w:t>
            </w:r>
            <w:r>
              <w:rPr>
                <w:spacing w:val="-2"/>
                <w:sz w:val="18"/>
              </w:rPr>
              <w:t>Stock</w:t>
            </w:r>
          </w:p>
        </w:tc>
        <w:tc>
          <w:tcPr>
            <w:tcW w:w="1186" w:type="dxa"/>
          </w:tcPr>
          <w:p>
            <w:pPr>
              <w:pStyle w:val="TableParagraph"/>
              <w:spacing w:line="204" w:lineRule="exact"/>
              <w:ind w:left="90" w:right="85"/>
              <w:jc w:val="center"/>
              <w:rPr>
                <w:sz w:val="18"/>
              </w:rPr>
            </w:pPr>
            <w:r>
              <w:rPr>
                <w:spacing w:val="-2"/>
                <w:sz w:val="18"/>
              </w:rPr>
              <w:t>23,522.57</w:t>
            </w:r>
          </w:p>
        </w:tc>
        <w:tc>
          <w:tcPr>
            <w:tcW w:w="1277" w:type="dxa"/>
          </w:tcPr>
          <w:p>
            <w:pPr>
              <w:pStyle w:val="TableParagraph"/>
              <w:spacing w:line="204" w:lineRule="exact"/>
              <w:ind w:left="140" w:right="130"/>
              <w:jc w:val="center"/>
              <w:rPr>
                <w:sz w:val="18"/>
              </w:rPr>
            </w:pPr>
            <w:r>
              <w:rPr>
                <w:spacing w:val="-2"/>
                <w:sz w:val="18"/>
              </w:rPr>
              <w:t>24,589.58</w:t>
            </w:r>
          </w:p>
        </w:tc>
        <w:tc>
          <w:tcPr>
            <w:tcW w:w="1246" w:type="dxa"/>
          </w:tcPr>
          <w:p>
            <w:pPr>
              <w:pStyle w:val="TableParagraph"/>
              <w:spacing w:line="204" w:lineRule="exact"/>
              <w:ind w:left="239"/>
              <w:rPr>
                <w:sz w:val="18"/>
              </w:rPr>
            </w:pPr>
            <w:r>
              <w:rPr>
                <w:sz w:val="18"/>
              </w:rPr>
              <w:t>25,</w:t>
            </w:r>
            <w:r>
              <w:rPr>
                <w:spacing w:val="-2"/>
                <w:sz w:val="18"/>
              </w:rPr>
              <w:t> 370.58</w:t>
            </w:r>
          </w:p>
        </w:tc>
        <w:tc>
          <w:tcPr>
            <w:tcW w:w="972" w:type="dxa"/>
          </w:tcPr>
          <w:p>
            <w:pPr>
              <w:pStyle w:val="TableParagraph"/>
              <w:spacing w:line="204" w:lineRule="exact"/>
              <w:ind w:left="162" w:right="153"/>
              <w:jc w:val="center"/>
              <w:rPr>
                <w:sz w:val="18"/>
              </w:rPr>
            </w:pPr>
            <w:r>
              <w:rPr>
                <w:spacing w:val="-5"/>
                <w:sz w:val="18"/>
              </w:rPr>
              <w:t>MoF</w:t>
            </w:r>
          </w:p>
        </w:tc>
      </w:tr>
      <w:tr>
        <w:trPr>
          <w:trHeight w:val="309" w:hRule="atLeast"/>
        </w:trPr>
        <w:tc>
          <w:tcPr>
            <w:tcW w:w="3425" w:type="dxa"/>
            <w:shd w:val="clear" w:color="auto" w:fill="DEEAF6"/>
          </w:tcPr>
          <w:p>
            <w:pPr>
              <w:pStyle w:val="TableParagraph"/>
              <w:spacing w:line="203" w:lineRule="exact"/>
              <w:ind w:left="983"/>
              <w:rPr>
                <w:sz w:val="18"/>
              </w:rPr>
            </w:pPr>
            <w:r>
              <w:rPr>
                <w:sz w:val="18"/>
              </w:rPr>
              <w:t>External</w:t>
            </w:r>
            <w:r>
              <w:rPr>
                <w:spacing w:val="-3"/>
                <w:sz w:val="18"/>
              </w:rPr>
              <w:t> </w:t>
            </w:r>
            <w:r>
              <w:rPr>
                <w:sz w:val="18"/>
              </w:rPr>
              <w:t>Debt</w:t>
            </w:r>
            <w:r>
              <w:rPr>
                <w:spacing w:val="-3"/>
                <w:sz w:val="18"/>
              </w:rPr>
              <w:t> </w:t>
            </w:r>
            <w:r>
              <w:rPr>
                <w:spacing w:val="-2"/>
                <w:sz w:val="18"/>
              </w:rPr>
              <w:t>Stock</w:t>
            </w:r>
          </w:p>
        </w:tc>
        <w:tc>
          <w:tcPr>
            <w:tcW w:w="1186" w:type="dxa"/>
            <w:shd w:val="clear" w:color="auto" w:fill="DEEAF6"/>
          </w:tcPr>
          <w:p>
            <w:pPr>
              <w:pStyle w:val="TableParagraph"/>
              <w:spacing w:line="203" w:lineRule="exact"/>
              <w:ind w:left="90" w:right="85"/>
              <w:jc w:val="center"/>
              <w:rPr>
                <w:sz w:val="18"/>
              </w:rPr>
            </w:pPr>
            <w:r>
              <w:rPr>
                <w:spacing w:val="-2"/>
                <w:sz w:val="18"/>
              </w:rPr>
              <w:t>17,366.99</w:t>
            </w:r>
          </w:p>
        </w:tc>
        <w:tc>
          <w:tcPr>
            <w:tcW w:w="1277" w:type="dxa"/>
            <w:shd w:val="clear" w:color="auto" w:fill="DEEAF6"/>
          </w:tcPr>
          <w:p>
            <w:pPr>
              <w:pStyle w:val="TableParagraph"/>
              <w:spacing w:line="203" w:lineRule="exact"/>
              <w:ind w:left="140" w:right="130"/>
              <w:jc w:val="center"/>
              <w:rPr>
                <w:sz w:val="18"/>
              </w:rPr>
            </w:pPr>
            <w:r>
              <w:rPr>
                <w:spacing w:val="-2"/>
                <w:sz w:val="18"/>
              </w:rPr>
              <w:t>1,7454.05</w:t>
            </w:r>
          </w:p>
        </w:tc>
        <w:tc>
          <w:tcPr>
            <w:tcW w:w="1246" w:type="dxa"/>
            <w:shd w:val="clear" w:color="auto" w:fill="DEEAF6"/>
          </w:tcPr>
          <w:p>
            <w:pPr>
              <w:pStyle w:val="TableParagraph"/>
              <w:spacing w:line="203" w:lineRule="exact"/>
              <w:ind w:left="307"/>
              <w:rPr>
                <w:sz w:val="18"/>
              </w:rPr>
            </w:pPr>
            <w:r>
              <w:rPr>
                <w:spacing w:val="-2"/>
                <w:sz w:val="18"/>
              </w:rPr>
              <w:t>16,779.50</w:t>
            </w:r>
          </w:p>
        </w:tc>
        <w:tc>
          <w:tcPr>
            <w:tcW w:w="972" w:type="dxa"/>
            <w:shd w:val="clear" w:color="auto" w:fill="DEEAF6"/>
          </w:tcPr>
          <w:p>
            <w:pPr>
              <w:pStyle w:val="TableParagraph"/>
              <w:spacing w:line="203" w:lineRule="exact"/>
              <w:ind w:left="162" w:right="153"/>
              <w:jc w:val="center"/>
              <w:rPr>
                <w:sz w:val="18"/>
              </w:rPr>
            </w:pPr>
            <w:r>
              <w:rPr>
                <w:spacing w:val="-5"/>
                <w:sz w:val="18"/>
              </w:rPr>
              <w:t>MoF</w:t>
            </w:r>
          </w:p>
        </w:tc>
      </w:tr>
      <w:tr>
        <w:trPr>
          <w:trHeight w:val="311" w:hRule="atLeast"/>
        </w:trPr>
        <w:tc>
          <w:tcPr>
            <w:tcW w:w="3425" w:type="dxa"/>
          </w:tcPr>
          <w:p>
            <w:pPr>
              <w:pStyle w:val="TableParagraph"/>
              <w:spacing w:line="240" w:lineRule="auto" w:before="2"/>
              <w:rPr>
                <w:b/>
                <w:sz w:val="18"/>
              </w:rPr>
            </w:pPr>
            <w:r>
              <w:rPr>
                <w:b/>
                <w:sz w:val="18"/>
              </w:rPr>
              <w:t>Total</w:t>
            </w:r>
            <w:r>
              <w:rPr>
                <w:b/>
                <w:spacing w:val="-7"/>
                <w:sz w:val="18"/>
              </w:rPr>
              <w:t> </w:t>
            </w:r>
            <w:r>
              <w:rPr>
                <w:b/>
                <w:sz w:val="18"/>
              </w:rPr>
              <w:t>Government</w:t>
            </w:r>
            <w:r>
              <w:rPr>
                <w:b/>
                <w:spacing w:val="-8"/>
                <w:sz w:val="18"/>
              </w:rPr>
              <w:t> </w:t>
            </w:r>
            <w:r>
              <w:rPr>
                <w:b/>
                <w:spacing w:val="-4"/>
                <w:sz w:val="18"/>
              </w:rPr>
              <w:t>Debt</w:t>
            </w:r>
          </w:p>
        </w:tc>
        <w:tc>
          <w:tcPr>
            <w:tcW w:w="1186" w:type="dxa"/>
          </w:tcPr>
          <w:p>
            <w:pPr>
              <w:pStyle w:val="TableParagraph"/>
              <w:spacing w:line="204" w:lineRule="exact"/>
              <w:ind w:left="90" w:right="85"/>
              <w:jc w:val="center"/>
              <w:rPr>
                <w:sz w:val="18"/>
              </w:rPr>
            </w:pPr>
            <w:r>
              <w:rPr>
                <w:spacing w:val="-2"/>
                <w:sz w:val="18"/>
              </w:rPr>
              <w:t>40,889.56</w:t>
            </w:r>
          </w:p>
        </w:tc>
        <w:tc>
          <w:tcPr>
            <w:tcW w:w="1277" w:type="dxa"/>
          </w:tcPr>
          <w:p>
            <w:pPr>
              <w:pStyle w:val="TableParagraph"/>
              <w:spacing w:line="204" w:lineRule="exact"/>
              <w:ind w:left="140" w:right="130"/>
              <w:jc w:val="center"/>
              <w:rPr>
                <w:sz w:val="18"/>
              </w:rPr>
            </w:pPr>
            <w:r>
              <w:rPr>
                <w:spacing w:val="-2"/>
                <w:sz w:val="18"/>
              </w:rPr>
              <w:t>42,043.63</w:t>
            </w:r>
          </w:p>
        </w:tc>
        <w:tc>
          <w:tcPr>
            <w:tcW w:w="1246" w:type="dxa"/>
          </w:tcPr>
          <w:p>
            <w:pPr>
              <w:pStyle w:val="TableParagraph"/>
              <w:spacing w:line="204" w:lineRule="exact"/>
              <w:ind w:left="261"/>
              <w:rPr>
                <w:sz w:val="18"/>
              </w:rPr>
            </w:pPr>
            <w:r>
              <w:rPr>
                <w:spacing w:val="-2"/>
                <w:sz w:val="18"/>
              </w:rPr>
              <w:t>42,150.08</w:t>
            </w:r>
          </w:p>
        </w:tc>
        <w:tc>
          <w:tcPr>
            <w:tcW w:w="972" w:type="dxa"/>
          </w:tcPr>
          <w:p>
            <w:pPr>
              <w:pStyle w:val="TableParagraph"/>
              <w:spacing w:line="204" w:lineRule="exact"/>
              <w:ind w:left="162" w:right="153"/>
              <w:jc w:val="center"/>
              <w:rPr>
                <w:sz w:val="18"/>
              </w:rPr>
            </w:pPr>
            <w:r>
              <w:rPr>
                <w:spacing w:val="-5"/>
                <w:sz w:val="18"/>
              </w:rPr>
              <w:t>MoF</w:t>
            </w:r>
          </w:p>
        </w:tc>
      </w:tr>
      <w:tr>
        <w:trPr>
          <w:trHeight w:val="311" w:hRule="atLeast"/>
        </w:trPr>
        <w:tc>
          <w:tcPr>
            <w:tcW w:w="3425" w:type="dxa"/>
            <w:shd w:val="clear" w:color="auto" w:fill="DEEAF6"/>
          </w:tcPr>
          <w:p>
            <w:pPr>
              <w:pStyle w:val="TableParagraph"/>
              <w:spacing w:line="207" w:lineRule="exact"/>
              <w:ind w:left="153"/>
              <w:rPr>
                <w:b/>
                <w:sz w:val="18"/>
              </w:rPr>
            </w:pPr>
            <w:r>
              <w:rPr>
                <w:b/>
                <w:sz w:val="18"/>
              </w:rPr>
              <w:t>GDP</w:t>
            </w:r>
            <w:r>
              <w:rPr>
                <w:b/>
                <w:spacing w:val="-7"/>
                <w:sz w:val="18"/>
              </w:rPr>
              <w:t> </w:t>
            </w:r>
            <w:r>
              <w:rPr>
                <w:b/>
                <w:sz w:val="18"/>
              </w:rPr>
              <w:t>Growth</w:t>
            </w:r>
            <w:r>
              <w:rPr>
                <w:b/>
                <w:spacing w:val="-7"/>
                <w:sz w:val="18"/>
              </w:rPr>
              <w:t> </w:t>
            </w:r>
            <w:r>
              <w:rPr>
                <w:b/>
                <w:sz w:val="18"/>
              </w:rPr>
              <w:t>Rate</w:t>
            </w:r>
            <w:r>
              <w:rPr>
                <w:b/>
                <w:spacing w:val="-8"/>
                <w:sz w:val="18"/>
              </w:rPr>
              <w:t> </w:t>
            </w:r>
            <w:r>
              <w:rPr>
                <w:b/>
                <w:sz w:val="18"/>
              </w:rPr>
              <w:t>(Y-on-</w:t>
            </w:r>
            <w:r>
              <w:rPr>
                <w:b/>
                <w:spacing w:val="-5"/>
                <w:sz w:val="18"/>
              </w:rPr>
              <w:t>Y)</w:t>
            </w:r>
          </w:p>
        </w:tc>
        <w:tc>
          <w:tcPr>
            <w:tcW w:w="1186" w:type="dxa"/>
            <w:shd w:val="clear" w:color="auto" w:fill="DEEAF6"/>
          </w:tcPr>
          <w:p>
            <w:pPr>
              <w:pStyle w:val="TableParagraph"/>
              <w:spacing w:line="207" w:lineRule="exact"/>
              <w:ind w:left="95" w:right="85"/>
              <w:jc w:val="center"/>
              <w:rPr>
                <w:b/>
                <w:sz w:val="18"/>
              </w:rPr>
            </w:pPr>
            <w:r>
              <w:rPr>
                <w:b/>
                <w:spacing w:val="-2"/>
                <w:sz w:val="18"/>
              </w:rPr>
              <w:t>2021Q4</w:t>
            </w:r>
          </w:p>
        </w:tc>
        <w:tc>
          <w:tcPr>
            <w:tcW w:w="1277" w:type="dxa"/>
            <w:shd w:val="clear" w:color="auto" w:fill="DEEAF6"/>
          </w:tcPr>
          <w:p>
            <w:pPr>
              <w:pStyle w:val="TableParagraph"/>
              <w:spacing w:line="207" w:lineRule="exact"/>
              <w:ind w:left="140" w:right="130"/>
              <w:jc w:val="center"/>
              <w:rPr>
                <w:b/>
                <w:sz w:val="18"/>
              </w:rPr>
            </w:pPr>
            <w:r>
              <w:rPr>
                <w:b/>
                <w:spacing w:val="-2"/>
                <w:sz w:val="18"/>
              </w:rPr>
              <w:t>2022Q1</w:t>
            </w:r>
          </w:p>
        </w:tc>
        <w:tc>
          <w:tcPr>
            <w:tcW w:w="1246" w:type="dxa"/>
            <w:shd w:val="clear" w:color="auto" w:fill="DEEAF6"/>
          </w:tcPr>
          <w:p>
            <w:pPr>
              <w:pStyle w:val="TableParagraph"/>
              <w:spacing w:line="207" w:lineRule="exact"/>
              <w:ind w:left="326"/>
              <w:rPr>
                <w:b/>
                <w:sz w:val="18"/>
              </w:rPr>
            </w:pPr>
            <w:r>
              <w:rPr>
                <w:b/>
                <w:spacing w:val="-2"/>
                <w:sz w:val="18"/>
              </w:rPr>
              <w:t>2022Q2</w:t>
            </w:r>
          </w:p>
        </w:tc>
        <w:tc>
          <w:tcPr>
            <w:tcW w:w="972" w:type="dxa"/>
            <w:shd w:val="clear" w:color="auto" w:fill="DEEAF6"/>
          </w:tcPr>
          <w:p>
            <w:pPr>
              <w:pStyle w:val="TableParagraph"/>
              <w:ind w:left="162" w:right="153"/>
              <w:jc w:val="center"/>
              <w:rPr>
                <w:sz w:val="18"/>
              </w:rPr>
            </w:pPr>
            <w:r>
              <w:rPr>
                <w:spacing w:val="-5"/>
                <w:sz w:val="18"/>
              </w:rPr>
              <w:t>StB</w:t>
            </w:r>
          </w:p>
        </w:tc>
      </w:tr>
      <w:tr>
        <w:trPr>
          <w:trHeight w:val="309" w:hRule="atLeast"/>
        </w:trPr>
        <w:tc>
          <w:tcPr>
            <w:tcW w:w="3425" w:type="dxa"/>
          </w:tcPr>
          <w:p>
            <w:pPr>
              <w:pStyle w:val="TableParagraph"/>
              <w:spacing w:line="240" w:lineRule="auto"/>
              <w:ind w:left="0"/>
              <w:rPr>
                <w:sz w:val="18"/>
              </w:rPr>
            </w:pPr>
          </w:p>
        </w:tc>
        <w:tc>
          <w:tcPr>
            <w:tcW w:w="1186" w:type="dxa"/>
          </w:tcPr>
          <w:p>
            <w:pPr>
              <w:pStyle w:val="TableParagraph"/>
              <w:ind w:left="95" w:right="85"/>
              <w:jc w:val="center"/>
              <w:rPr>
                <w:sz w:val="18"/>
              </w:rPr>
            </w:pPr>
            <w:r>
              <w:rPr>
                <w:spacing w:val="-5"/>
                <w:sz w:val="18"/>
              </w:rPr>
              <w:t>5.6</w:t>
            </w:r>
          </w:p>
        </w:tc>
        <w:tc>
          <w:tcPr>
            <w:tcW w:w="1277" w:type="dxa"/>
          </w:tcPr>
          <w:p>
            <w:pPr>
              <w:pStyle w:val="TableParagraph"/>
              <w:ind w:left="140" w:right="130"/>
              <w:jc w:val="center"/>
              <w:rPr>
                <w:sz w:val="18"/>
              </w:rPr>
            </w:pPr>
            <w:r>
              <w:rPr>
                <w:spacing w:val="-5"/>
                <w:sz w:val="18"/>
              </w:rPr>
              <w:t>7.0</w:t>
            </w:r>
          </w:p>
        </w:tc>
        <w:tc>
          <w:tcPr>
            <w:tcW w:w="1246" w:type="dxa"/>
          </w:tcPr>
          <w:p>
            <w:pPr>
              <w:pStyle w:val="TableParagraph"/>
              <w:ind w:left="450" w:right="443"/>
              <w:jc w:val="center"/>
              <w:rPr>
                <w:sz w:val="18"/>
              </w:rPr>
            </w:pPr>
            <w:r>
              <w:rPr>
                <w:spacing w:val="-5"/>
                <w:sz w:val="18"/>
              </w:rPr>
              <w:t>5.6</w:t>
            </w:r>
          </w:p>
        </w:tc>
        <w:tc>
          <w:tcPr>
            <w:tcW w:w="972" w:type="dxa"/>
          </w:tcPr>
          <w:p>
            <w:pPr>
              <w:pStyle w:val="TableParagraph"/>
              <w:spacing w:line="240" w:lineRule="auto"/>
              <w:ind w:left="0"/>
              <w:rPr>
                <w:sz w:val="18"/>
              </w:rPr>
            </w:pPr>
          </w:p>
        </w:tc>
      </w:tr>
    </w:tbl>
    <w:p>
      <w:pPr>
        <w:pStyle w:val="BodyText"/>
        <w:rPr>
          <w:b/>
          <w:sz w:val="20"/>
        </w:rPr>
      </w:pPr>
    </w:p>
    <w:p>
      <w:pPr>
        <w:pStyle w:val="BodyText"/>
        <w:rPr>
          <w:b/>
          <w:sz w:val="20"/>
        </w:rPr>
      </w:pPr>
    </w:p>
    <w:p>
      <w:pPr>
        <w:pStyle w:val="BodyText"/>
        <w:rPr>
          <w:b/>
          <w:sz w:val="23"/>
        </w:rPr>
      </w:pPr>
      <w:r>
        <w:rPr/>
        <w:pict>
          <v:rect style="position:absolute;margin-left:72.024002pt;margin-top:14.461913pt;width:144.020pt;height:.72003pt;mso-position-horizontal-relative:page;mso-position-vertical-relative:paragraph;z-index:-15723008;mso-wrap-distance-left:0;mso-wrap-distance-right:0" id="docshape13" filled="true" fillcolor="#000000" stroked="false">
            <v:fill type="solid"/>
            <w10:wrap type="topAndBottom"/>
          </v:rect>
        </w:pict>
      </w:r>
    </w:p>
    <w:p>
      <w:pPr>
        <w:spacing w:before="188"/>
        <w:ind w:left="660" w:right="0" w:firstLine="0"/>
        <w:jc w:val="left"/>
        <w:rPr>
          <w:sz w:val="18"/>
        </w:rPr>
      </w:pPr>
      <w:r>
        <w:rPr>
          <w:position w:val="6"/>
          <w:sz w:val="12"/>
        </w:rPr>
        <w:t>3</w:t>
      </w:r>
      <w:r>
        <w:rPr>
          <w:spacing w:val="13"/>
          <w:position w:val="6"/>
          <w:sz w:val="12"/>
        </w:rPr>
        <w:t> </w:t>
      </w:r>
      <w:r>
        <w:rPr>
          <w:sz w:val="18"/>
        </w:rPr>
        <w:t>Calculated as</w:t>
      </w:r>
      <w:r>
        <w:rPr>
          <w:spacing w:val="-2"/>
          <w:sz w:val="18"/>
        </w:rPr>
        <w:t> </w:t>
      </w:r>
      <w:r>
        <w:rPr>
          <w:sz w:val="18"/>
        </w:rPr>
        <w:t>a</w:t>
      </w:r>
      <w:r>
        <w:rPr>
          <w:spacing w:val="-2"/>
          <w:sz w:val="18"/>
        </w:rPr>
        <w:t> </w:t>
      </w:r>
      <w:r>
        <w:rPr>
          <w:sz w:val="18"/>
        </w:rPr>
        <w:t>cumulative</w:t>
      </w:r>
      <w:r>
        <w:rPr>
          <w:spacing w:val="-2"/>
          <w:sz w:val="18"/>
        </w:rPr>
        <w:t> </w:t>
      </w:r>
      <w:r>
        <w:rPr>
          <w:sz w:val="18"/>
        </w:rPr>
        <w:t>amount</w:t>
      </w:r>
      <w:r>
        <w:rPr>
          <w:spacing w:val="-2"/>
          <w:sz w:val="18"/>
        </w:rPr>
        <w:t> </w:t>
      </w:r>
      <w:r>
        <w:rPr>
          <w:sz w:val="18"/>
        </w:rPr>
        <w:t>from</w:t>
      </w:r>
      <w:r>
        <w:rPr>
          <w:spacing w:val="-4"/>
          <w:sz w:val="18"/>
        </w:rPr>
        <w:t> </w:t>
      </w:r>
      <w:r>
        <w:rPr>
          <w:sz w:val="18"/>
        </w:rPr>
        <w:t>January</w:t>
      </w:r>
      <w:r>
        <w:rPr>
          <w:spacing w:val="-5"/>
          <w:sz w:val="18"/>
        </w:rPr>
        <w:t> </w:t>
      </w:r>
      <w:r>
        <w:rPr>
          <w:sz w:val="18"/>
        </w:rPr>
        <w:t>to</w:t>
      </w:r>
      <w:r>
        <w:rPr>
          <w:spacing w:val="-1"/>
          <w:sz w:val="18"/>
        </w:rPr>
        <w:t> </w:t>
      </w:r>
      <w:r>
        <w:rPr>
          <w:sz w:val="18"/>
        </w:rPr>
        <w:t>review</w:t>
      </w:r>
      <w:r>
        <w:rPr>
          <w:spacing w:val="-4"/>
          <w:sz w:val="18"/>
        </w:rPr>
        <w:t> </w:t>
      </w:r>
      <w:r>
        <w:rPr>
          <w:spacing w:val="-2"/>
          <w:sz w:val="18"/>
        </w:rPr>
        <w:t>period.</w:t>
      </w:r>
    </w:p>
    <w:p>
      <w:pPr>
        <w:pStyle w:val="BodyText"/>
        <w:spacing w:before="1"/>
        <w:rPr>
          <w:sz w:val="18"/>
        </w:rPr>
      </w:pPr>
    </w:p>
    <w:p>
      <w:pPr>
        <w:spacing w:before="1"/>
        <w:ind w:left="660" w:right="0" w:firstLine="0"/>
        <w:jc w:val="left"/>
        <w:rPr>
          <w:sz w:val="18"/>
        </w:rPr>
      </w:pPr>
      <w:r>
        <w:rPr>
          <w:position w:val="6"/>
          <w:sz w:val="12"/>
        </w:rPr>
        <w:t>4</w:t>
      </w:r>
      <w:r>
        <w:rPr>
          <w:spacing w:val="10"/>
          <w:position w:val="6"/>
          <w:sz w:val="12"/>
        </w:rPr>
        <w:t> </w:t>
      </w:r>
      <w:r>
        <w:rPr>
          <w:sz w:val="18"/>
        </w:rPr>
        <w:t>Provisional</w:t>
      </w:r>
      <w:r>
        <w:rPr>
          <w:spacing w:val="-2"/>
          <w:sz w:val="18"/>
        </w:rPr>
        <w:t> </w:t>
      </w:r>
      <w:r>
        <w:rPr>
          <w:sz w:val="18"/>
        </w:rPr>
        <w:t>result</w:t>
      </w:r>
      <w:r>
        <w:rPr>
          <w:spacing w:val="-2"/>
          <w:sz w:val="18"/>
        </w:rPr>
        <w:t> </w:t>
      </w:r>
      <w:r>
        <w:rPr>
          <w:sz w:val="18"/>
        </w:rPr>
        <w:t>representing</w:t>
      </w:r>
      <w:r>
        <w:rPr>
          <w:spacing w:val="-2"/>
          <w:sz w:val="18"/>
        </w:rPr>
        <w:t> </w:t>
      </w:r>
      <w:r>
        <w:rPr>
          <w:sz w:val="18"/>
        </w:rPr>
        <w:t>sales</w:t>
      </w:r>
      <w:r>
        <w:rPr>
          <w:spacing w:val="-4"/>
          <w:sz w:val="18"/>
        </w:rPr>
        <w:t> </w:t>
      </w:r>
      <w:r>
        <w:rPr>
          <w:sz w:val="18"/>
        </w:rPr>
        <w:t>from</w:t>
      </w:r>
      <w:r>
        <w:rPr>
          <w:spacing w:val="-6"/>
          <w:sz w:val="18"/>
        </w:rPr>
        <w:t> </w:t>
      </w:r>
      <w:r>
        <w:rPr>
          <w:sz w:val="18"/>
        </w:rPr>
        <w:t>19-23</w:t>
      </w:r>
      <w:r>
        <w:rPr>
          <w:spacing w:val="-3"/>
          <w:sz w:val="18"/>
        </w:rPr>
        <w:t> </w:t>
      </w:r>
      <w:r>
        <w:rPr>
          <w:sz w:val="18"/>
        </w:rPr>
        <w:t>September</w:t>
      </w:r>
      <w:r>
        <w:rPr>
          <w:spacing w:val="-3"/>
          <w:sz w:val="18"/>
        </w:rPr>
        <w:t> </w:t>
      </w:r>
      <w:r>
        <w:rPr>
          <w:spacing w:val="-4"/>
          <w:sz w:val="18"/>
        </w:rPr>
        <w:t>2022</w:t>
      </w:r>
    </w:p>
    <w:p>
      <w:pPr>
        <w:spacing w:after="0"/>
        <w:jc w:val="left"/>
        <w:rPr>
          <w:sz w:val="18"/>
        </w:rPr>
        <w:sectPr>
          <w:pgSz w:w="11910" w:h="16840"/>
          <w:pgMar w:header="0" w:footer="1003" w:top="1340" w:bottom="1200" w:left="780" w:right="680"/>
        </w:sectPr>
      </w:pPr>
    </w:p>
    <w:p>
      <w:pPr>
        <w:pStyle w:val="ListParagraph"/>
        <w:numPr>
          <w:ilvl w:val="0"/>
          <w:numId w:val="1"/>
        </w:numPr>
        <w:tabs>
          <w:tab w:pos="2837" w:val="left" w:leader="none"/>
          <w:tab w:pos="2838" w:val="left" w:leader="none"/>
        </w:tabs>
        <w:spacing w:line="240" w:lineRule="auto" w:before="80" w:after="0"/>
        <w:ind w:left="2837" w:right="0" w:hanging="599"/>
        <w:jc w:val="left"/>
        <w:rPr>
          <w:b/>
          <w:sz w:val="22"/>
        </w:rPr>
      </w:pPr>
      <w:r>
        <w:rPr/>
        <w:pict>
          <v:shape style="position:absolute;margin-left:24.000002pt;margin-top:23.999945pt;width:547.450pt;height:794.05pt;mso-position-horizontal-relative:page;mso-position-vertical-relative:page;z-index:-16200192" id="docshape14"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w:r>
      <w:r>
        <w:rPr>
          <w:b/>
          <w:sz w:val="22"/>
        </w:rPr>
        <w:t>Key</w:t>
      </w:r>
      <w:r>
        <w:rPr>
          <w:b/>
          <w:spacing w:val="-4"/>
          <w:sz w:val="22"/>
        </w:rPr>
        <w:t> </w:t>
      </w:r>
      <w:r>
        <w:rPr>
          <w:b/>
          <w:sz w:val="22"/>
        </w:rPr>
        <w:t>Economic</w:t>
      </w:r>
      <w:r>
        <w:rPr>
          <w:b/>
          <w:spacing w:val="-3"/>
          <w:sz w:val="22"/>
        </w:rPr>
        <w:t> </w:t>
      </w:r>
      <w:r>
        <w:rPr>
          <w:b/>
          <w:sz w:val="22"/>
        </w:rPr>
        <w:t>news</w:t>
      </w:r>
      <w:r>
        <w:rPr>
          <w:b/>
          <w:spacing w:val="-3"/>
          <w:sz w:val="22"/>
        </w:rPr>
        <w:t> </w:t>
      </w:r>
      <w:r>
        <w:rPr>
          <w:b/>
          <w:sz w:val="22"/>
        </w:rPr>
        <w:t>during</w:t>
      </w:r>
      <w:r>
        <w:rPr>
          <w:b/>
          <w:spacing w:val="-3"/>
          <w:sz w:val="22"/>
        </w:rPr>
        <w:t> </w:t>
      </w:r>
      <w:r>
        <w:rPr>
          <w:b/>
          <w:sz w:val="22"/>
        </w:rPr>
        <w:t>the</w:t>
      </w:r>
      <w:r>
        <w:rPr>
          <w:b/>
          <w:spacing w:val="-5"/>
          <w:sz w:val="22"/>
        </w:rPr>
        <w:t> </w:t>
      </w:r>
      <w:r>
        <w:rPr>
          <w:b/>
          <w:sz w:val="22"/>
        </w:rPr>
        <w:t>month</w:t>
      </w:r>
      <w:r>
        <w:rPr>
          <w:b/>
          <w:spacing w:val="-5"/>
          <w:sz w:val="22"/>
        </w:rPr>
        <w:t> </w:t>
      </w:r>
      <w:r>
        <w:rPr>
          <w:b/>
          <w:sz w:val="22"/>
        </w:rPr>
        <w:t>of September</w:t>
      </w:r>
      <w:r>
        <w:rPr>
          <w:b/>
          <w:spacing w:val="-3"/>
          <w:sz w:val="22"/>
        </w:rPr>
        <w:t> </w:t>
      </w:r>
      <w:r>
        <w:rPr>
          <w:b/>
          <w:spacing w:val="-4"/>
          <w:sz w:val="22"/>
        </w:rPr>
        <w:t>2022</w:t>
      </w:r>
    </w:p>
    <w:p>
      <w:pPr>
        <w:pStyle w:val="BodyText"/>
        <w:spacing w:before="8"/>
        <w:rPr>
          <w:b/>
          <w:sz w:val="25"/>
        </w:r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5449"/>
        <w:gridCol w:w="3260"/>
      </w:tblGrid>
      <w:tr>
        <w:trPr>
          <w:trHeight w:val="496" w:hRule="atLeast"/>
        </w:trPr>
        <w:tc>
          <w:tcPr>
            <w:tcW w:w="1500" w:type="dxa"/>
            <w:shd w:val="clear" w:color="auto" w:fill="BCD5ED"/>
          </w:tcPr>
          <w:p>
            <w:pPr>
              <w:pStyle w:val="TableParagraph"/>
              <w:spacing w:line="251" w:lineRule="exact"/>
              <w:rPr>
                <w:b/>
                <w:sz w:val="22"/>
              </w:rPr>
            </w:pPr>
            <w:r>
              <w:rPr>
                <w:b/>
                <w:spacing w:val="-2"/>
                <w:sz w:val="22"/>
              </w:rPr>
              <w:t>Source</w:t>
            </w:r>
          </w:p>
        </w:tc>
        <w:tc>
          <w:tcPr>
            <w:tcW w:w="5449" w:type="dxa"/>
            <w:shd w:val="clear" w:color="auto" w:fill="BCD5ED"/>
          </w:tcPr>
          <w:p>
            <w:pPr>
              <w:pStyle w:val="TableParagraph"/>
              <w:spacing w:line="251" w:lineRule="exact"/>
              <w:ind w:left="108"/>
              <w:rPr>
                <w:b/>
                <w:sz w:val="22"/>
              </w:rPr>
            </w:pPr>
            <w:r>
              <w:rPr>
                <w:b/>
                <w:sz w:val="22"/>
              </w:rPr>
              <w:t>News</w:t>
            </w:r>
            <w:r>
              <w:rPr>
                <w:b/>
                <w:spacing w:val="-3"/>
                <w:sz w:val="22"/>
              </w:rPr>
              <w:t> </w:t>
            </w:r>
            <w:r>
              <w:rPr>
                <w:b/>
                <w:spacing w:val="-4"/>
                <w:sz w:val="22"/>
              </w:rPr>
              <w:t>Feed</w:t>
            </w:r>
          </w:p>
        </w:tc>
        <w:tc>
          <w:tcPr>
            <w:tcW w:w="3260" w:type="dxa"/>
            <w:shd w:val="clear" w:color="auto" w:fill="BCD5ED"/>
          </w:tcPr>
          <w:p>
            <w:pPr>
              <w:pStyle w:val="TableParagraph"/>
              <w:spacing w:line="251" w:lineRule="exact"/>
              <w:ind w:left="108"/>
              <w:rPr>
                <w:b/>
                <w:sz w:val="22"/>
              </w:rPr>
            </w:pPr>
            <w:r>
              <w:rPr>
                <w:b/>
                <w:sz w:val="22"/>
              </w:rPr>
              <w:t>Possible</w:t>
            </w:r>
            <w:r>
              <w:rPr>
                <w:b/>
                <w:spacing w:val="-5"/>
                <w:sz w:val="22"/>
              </w:rPr>
              <w:t> </w:t>
            </w:r>
            <w:r>
              <w:rPr>
                <w:b/>
                <w:sz w:val="22"/>
              </w:rPr>
              <w:t>Economic</w:t>
            </w:r>
            <w:r>
              <w:rPr>
                <w:b/>
                <w:spacing w:val="-5"/>
                <w:sz w:val="22"/>
              </w:rPr>
              <w:t> </w:t>
            </w:r>
            <w:r>
              <w:rPr>
                <w:b/>
                <w:spacing w:val="-2"/>
                <w:sz w:val="22"/>
              </w:rPr>
              <w:t>Implications</w:t>
            </w:r>
          </w:p>
        </w:tc>
      </w:tr>
      <w:tr>
        <w:trPr>
          <w:trHeight w:val="2022" w:hRule="atLeast"/>
        </w:trPr>
        <w:tc>
          <w:tcPr>
            <w:tcW w:w="1500" w:type="dxa"/>
          </w:tcPr>
          <w:p>
            <w:pPr>
              <w:pStyle w:val="TableParagraph"/>
              <w:spacing w:line="240" w:lineRule="auto"/>
              <w:ind w:right="162"/>
              <w:rPr>
                <w:sz w:val="22"/>
              </w:rPr>
            </w:pPr>
            <w:r>
              <w:rPr>
                <w:sz w:val="22"/>
              </w:rPr>
              <w:t>Daily News, September</w:t>
            </w:r>
            <w:r>
              <w:rPr>
                <w:spacing w:val="-14"/>
                <w:sz w:val="22"/>
              </w:rPr>
              <w:t> </w:t>
            </w:r>
            <w:r>
              <w:rPr>
                <w:sz w:val="22"/>
              </w:rPr>
              <w:t>7</w:t>
            </w:r>
            <w:r>
              <w:rPr>
                <w:sz w:val="22"/>
                <w:vertAlign w:val="superscript"/>
              </w:rPr>
              <w:t>th</w:t>
            </w:r>
            <w:r>
              <w:rPr>
                <w:sz w:val="22"/>
                <w:vertAlign w:val="baseline"/>
              </w:rPr>
              <w:t> </w:t>
            </w:r>
            <w:r>
              <w:rPr>
                <w:spacing w:val="-4"/>
                <w:sz w:val="22"/>
                <w:vertAlign w:val="baseline"/>
              </w:rPr>
              <w:t>2022</w:t>
            </w:r>
          </w:p>
        </w:tc>
        <w:tc>
          <w:tcPr>
            <w:tcW w:w="5449" w:type="dxa"/>
          </w:tcPr>
          <w:p>
            <w:pPr>
              <w:pStyle w:val="TableParagraph"/>
              <w:tabs>
                <w:tab w:pos="883" w:val="left" w:leader="none"/>
              </w:tabs>
              <w:spacing w:line="247" w:lineRule="exact"/>
              <w:ind w:left="468"/>
              <w:rPr>
                <w:i/>
                <w:sz w:val="22"/>
              </w:rPr>
            </w:pPr>
            <w:r>
              <w:rPr>
                <w:i/>
                <w:spacing w:val="-5"/>
                <w:sz w:val="22"/>
              </w:rPr>
              <w:t>i.</w:t>
            </w:r>
            <w:r>
              <w:rPr>
                <w:i/>
                <w:sz w:val="22"/>
              </w:rPr>
              <w:tab/>
              <w:t>Botswana</w:t>
            </w:r>
            <w:r>
              <w:rPr>
                <w:i/>
                <w:spacing w:val="-6"/>
                <w:sz w:val="22"/>
              </w:rPr>
              <w:t> </w:t>
            </w:r>
            <w:r>
              <w:rPr>
                <w:i/>
                <w:sz w:val="22"/>
              </w:rPr>
              <w:t>coal</w:t>
            </w:r>
            <w:r>
              <w:rPr>
                <w:i/>
                <w:spacing w:val="-2"/>
                <w:sz w:val="22"/>
              </w:rPr>
              <w:t> </w:t>
            </w:r>
            <w:r>
              <w:rPr>
                <w:i/>
                <w:sz w:val="22"/>
              </w:rPr>
              <w:t>world</w:t>
            </w:r>
            <w:r>
              <w:rPr>
                <w:i/>
                <w:spacing w:val="-3"/>
                <w:sz w:val="22"/>
              </w:rPr>
              <w:t> </w:t>
            </w:r>
            <w:r>
              <w:rPr>
                <w:i/>
                <w:sz w:val="22"/>
              </w:rPr>
              <w:t>energy</w:t>
            </w:r>
            <w:r>
              <w:rPr>
                <w:i/>
                <w:spacing w:val="-3"/>
                <w:sz w:val="22"/>
              </w:rPr>
              <w:t> </w:t>
            </w:r>
            <w:r>
              <w:rPr>
                <w:i/>
                <w:sz w:val="22"/>
              </w:rPr>
              <w:t>crisis</w:t>
            </w:r>
            <w:r>
              <w:rPr>
                <w:i/>
                <w:spacing w:val="-2"/>
                <w:sz w:val="22"/>
              </w:rPr>
              <w:t> solution</w:t>
            </w:r>
          </w:p>
          <w:p>
            <w:pPr>
              <w:pStyle w:val="TableParagraph"/>
              <w:spacing w:line="240" w:lineRule="auto"/>
              <w:ind w:left="0"/>
              <w:rPr>
                <w:b/>
                <w:sz w:val="22"/>
              </w:rPr>
            </w:pPr>
          </w:p>
          <w:p>
            <w:pPr>
              <w:pStyle w:val="TableParagraph"/>
              <w:spacing w:line="240" w:lineRule="auto"/>
              <w:ind w:left="317" w:right="92"/>
              <w:jc w:val="both"/>
              <w:rPr>
                <w:i/>
                <w:sz w:val="22"/>
              </w:rPr>
            </w:pPr>
            <w:r>
              <w:rPr>
                <w:i/>
                <w:sz w:val="22"/>
              </w:rPr>
              <w:t>”Through its abundance of coal, Botswana is in a</w:t>
            </w:r>
            <w:r>
              <w:rPr>
                <w:i/>
                <w:sz w:val="22"/>
              </w:rPr>
              <w:t> position to provide the world with the necessary relief from</w:t>
            </w:r>
            <w:r>
              <w:rPr>
                <w:i/>
                <w:spacing w:val="-3"/>
                <w:sz w:val="22"/>
              </w:rPr>
              <w:t> </w:t>
            </w:r>
            <w:r>
              <w:rPr>
                <w:i/>
                <w:sz w:val="22"/>
              </w:rPr>
              <w:t>the current energy crisis’’. This was said by President Dr Mokgweetsi Masisi when receiving letters of</w:t>
            </w:r>
            <w:r>
              <w:rPr>
                <w:i/>
                <w:spacing w:val="28"/>
                <w:sz w:val="22"/>
              </w:rPr>
              <w:t>  </w:t>
            </w:r>
            <w:r>
              <w:rPr>
                <w:i/>
                <w:sz w:val="22"/>
              </w:rPr>
              <w:t>credence</w:t>
            </w:r>
            <w:r>
              <w:rPr>
                <w:i/>
                <w:spacing w:val="27"/>
                <w:sz w:val="22"/>
              </w:rPr>
              <w:t>  </w:t>
            </w:r>
            <w:r>
              <w:rPr>
                <w:i/>
                <w:sz w:val="22"/>
              </w:rPr>
              <w:t>from</w:t>
            </w:r>
            <w:r>
              <w:rPr>
                <w:i/>
                <w:spacing w:val="1"/>
                <w:sz w:val="22"/>
              </w:rPr>
              <w:t> </w:t>
            </w:r>
            <w:r>
              <w:rPr>
                <w:i/>
                <w:sz w:val="22"/>
              </w:rPr>
              <w:t>the</w:t>
            </w:r>
            <w:r>
              <w:rPr>
                <w:i/>
                <w:spacing w:val="28"/>
                <w:sz w:val="22"/>
              </w:rPr>
              <w:t>  </w:t>
            </w:r>
            <w:r>
              <w:rPr>
                <w:i/>
                <w:sz w:val="22"/>
              </w:rPr>
              <w:t>European</w:t>
            </w:r>
            <w:r>
              <w:rPr>
                <w:i/>
                <w:spacing w:val="27"/>
                <w:sz w:val="22"/>
              </w:rPr>
              <w:t>  </w:t>
            </w:r>
            <w:r>
              <w:rPr>
                <w:i/>
                <w:sz w:val="22"/>
              </w:rPr>
              <w:t>Union</w:t>
            </w:r>
            <w:r>
              <w:rPr>
                <w:i/>
                <w:spacing w:val="28"/>
                <w:sz w:val="22"/>
              </w:rPr>
              <w:t>  </w:t>
            </w:r>
            <w:r>
              <w:rPr>
                <w:i/>
                <w:sz w:val="22"/>
              </w:rPr>
              <w:t>(EU),</w:t>
            </w:r>
            <w:r>
              <w:rPr>
                <w:i/>
                <w:spacing w:val="28"/>
                <w:sz w:val="22"/>
              </w:rPr>
              <w:t>  </w:t>
            </w:r>
            <w:r>
              <w:rPr>
                <w:i/>
                <w:spacing w:val="-5"/>
                <w:sz w:val="22"/>
              </w:rPr>
              <w:t>New</w:t>
            </w:r>
          </w:p>
          <w:p>
            <w:pPr>
              <w:pStyle w:val="TableParagraph"/>
              <w:spacing w:line="238" w:lineRule="exact"/>
              <w:ind w:left="317"/>
              <w:jc w:val="both"/>
              <w:rPr>
                <w:i/>
                <w:sz w:val="22"/>
              </w:rPr>
            </w:pPr>
            <w:r>
              <w:rPr>
                <w:i/>
                <w:sz w:val="22"/>
              </w:rPr>
              <w:t>Zealand</w:t>
            </w:r>
            <w:r>
              <w:rPr>
                <w:i/>
                <w:spacing w:val="-3"/>
                <w:sz w:val="22"/>
              </w:rPr>
              <w:t> </w:t>
            </w:r>
            <w:r>
              <w:rPr>
                <w:i/>
                <w:sz w:val="22"/>
              </w:rPr>
              <w:t>and</w:t>
            </w:r>
            <w:r>
              <w:rPr>
                <w:i/>
                <w:spacing w:val="-3"/>
                <w:sz w:val="22"/>
              </w:rPr>
              <w:t> </w:t>
            </w:r>
            <w:r>
              <w:rPr>
                <w:i/>
                <w:sz w:val="22"/>
              </w:rPr>
              <w:t>Greece</w:t>
            </w:r>
            <w:r>
              <w:rPr>
                <w:i/>
                <w:spacing w:val="-3"/>
                <w:sz w:val="22"/>
              </w:rPr>
              <w:t> </w:t>
            </w:r>
            <w:r>
              <w:rPr>
                <w:i/>
                <w:spacing w:val="-2"/>
                <w:sz w:val="22"/>
              </w:rPr>
              <w:t>envoys.</w:t>
            </w:r>
          </w:p>
        </w:tc>
        <w:tc>
          <w:tcPr>
            <w:tcW w:w="3260" w:type="dxa"/>
          </w:tcPr>
          <w:p>
            <w:pPr>
              <w:pStyle w:val="TableParagraph"/>
              <w:spacing w:line="247" w:lineRule="exact"/>
              <w:ind w:left="108"/>
              <w:rPr>
                <w:sz w:val="22"/>
              </w:rPr>
            </w:pPr>
            <w:r>
              <w:rPr>
                <w:sz w:val="22"/>
              </w:rPr>
              <w:t>Increase</w:t>
            </w:r>
            <w:r>
              <w:rPr>
                <w:spacing w:val="-2"/>
                <w:sz w:val="22"/>
              </w:rPr>
              <w:t> </w:t>
            </w:r>
            <w:r>
              <w:rPr>
                <w:sz w:val="22"/>
              </w:rPr>
              <w:t>in</w:t>
            </w:r>
            <w:r>
              <w:rPr>
                <w:spacing w:val="-5"/>
                <w:sz w:val="22"/>
              </w:rPr>
              <w:t> </w:t>
            </w:r>
            <w:r>
              <w:rPr>
                <w:sz w:val="22"/>
              </w:rPr>
              <w:t>the</w:t>
            </w:r>
            <w:r>
              <w:rPr>
                <w:spacing w:val="-2"/>
                <w:sz w:val="22"/>
              </w:rPr>
              <w:t> </w:t>
            </w:r>
            <w:r>
              <w:rPr>
                <w:sz w:val="22"/>
              </w:rPr>
              <w:t>export</w:t>
            </w:r>
            <w:r>
              <w:rPr>
                <w:spacing w:val="-4"/>
                <w:sz w:val="22"/>
              </w:rPr>
              <w:t> </w:t>
            </w:r>
            <w:r>
              <w:rPr>
                <w:sz w:val="22"/>
              </w:rPr>
              <w:t>of</w:t>
            </w:r>
            <w:r>
              <w:rPr>
                <w:spacing w:val="-3"/>
                <w:sz w:val="22"/>
              </w:rPr>
              <w:t> </w:t>
            </w:r>
            <w:r>
              <w:rPr>
                <w:spacing w:val="-2"/>
                <w:sz w:val="22"/>
              </w:rPr>
              <w:t>coal.</w:t>
            </w:r>
          </w:p>
        </w:tc>
      </w:tr>
      <w:tr>
        <w:trPr>
          <w:trHeight w:val="2784" w:hRule="atLeast"/>
        </w:trPr>
        <w:tc>
          <w:tcPr>
            <w:tcW w:w="1500" w:type="dxa"/>
          </w:tcPr>
          <w:p>
            <w:pPr>
              <w:pStyle w:val="TableParagraph"/>
              <w:spacing w:line="240" w:lineRule="auto"/>
              <w:ind w:right="162"/>
              <w:rPr>
                <w:sz w:val="22"/>
              </w:rPr>
            </w:pPr>
            <w:r>
              <w:rPr>
                <w:spacing w:val="-2"/>
                <w:sz w:val="22"/>
              </w:rPr>
              <w:t>Mmegi Newspaper, </w:t>
            </w:r>
            <w:r>
              <w:rPr>
                <w:sz w:val="22"/>
              </w:rPr>
              <w:t>9</w:t>
            </w:r>
            <w:r>
              <w:rPr>
                <w:sz w:val="22"/>
                <w:vertAlign w:val="superscript"/>
              </w:rPr>
              <w:t>th</w:t>
            </w:r>
            <w:r>
              <w:rPr>
                <w:spacing w:val="-14"/>
                <w:sz w:val="22"/>
                <w:vertAlign w:val="baseline"/>
              </w:rPr>
              <w:t> </w:t>
            </w:r>
            <w:r>
              <w:rPr>
                <w:sz w:val="22"/>
                <w:vertAlign w:val="baseline"/>
              </w:rPr>
              <w:t>September </w:t>
            </w:r>
            <w:r>
              <w:rPr>
                <w:spacing w:val="-4"/>
                <w:sz w:val="22"/>
                <w:vertAlign w:val="baseline"/>
              </w:rPr>
              <w:t>2022</w:t>
            </w:r>
          </w:p>
        </w:tc>
        <w:tc>
          <w:tcPr>
            <w:tcW w:w="5449" w:type="dxa"/>
          </w:tcPr>
          <w:p>
            <w:pPr>
              <w:pStyle w:val="TableParagraph"/>
              <w:spacing w:line="247" w:lineRule="exact"/>
              <w:ind w:left="218"/>
              <w:jc w:val="both"/>
              <w:rPr>
                <w:i/>
                <w:sz w:val="22"/>
              </w:rPr>
            </w:pPr>
            <w:r>
              <w:rPr>
                <w:i/>
                <w:sz w:val="22"/>
              </w:rPr>
              <w:t>Debswana</w:t>
            </w:r>
            <w:r>
              <w:rPr>
                <w:i/>
                <w:spacing w:val="-4"/>
                <w:sz w:val="22"/>
              </w:rPr>
              <w:t> </w:t>
            </w:r>
            <w:r>
              <w:rPr>
                <w:i/>
                <w:sz w:val="22"/>
              </w:rPr>
              <w:t>eyes</w:t>
            </w:r>
            <w:r>
              <w:rPr>
                <w:i/>
                <w:spacing w:val="-5"/>
                <w:sz w:val="22"/>
              </w:rPr>
              <w:t> </w:t>
            </w:r>
            <w:r>
              <w:rPr>
                <w:i/>
                <w:sz w:val="22"/>
              </w:rPr>
              <w:t>four-year</w:t>
            </w:r>
            <w:r>
              <w:rPr>
                <w:i/>
                <w:spacing w:val="-5"/>
                <w:sz w:val="22"/>
              </w:rPr>
              <w:t> </w:t>
            </w:r>
            <w:r>
              <w:rPr>
                <w:i/>
                <w:sz w:val="22"/>
              </w:rPr>
              <w:t>production</w:t>
            </w:r>
            <w:r>
              <w:rPr>
                <w:i/>
                <w:spacing w:val="-3"/>
                <w:sz w:val="22"/>
              </w:rPr>
              <w:t> </w:t>
            </w:r>
            <w:r>
              <w:rPr>
                <w:i/>
                <w:spacing w:val="-4"/>
                <w:sz w:val="22"/>
              </w:rPr>
              <w:t>high</w:t>
            </w:r>
          </w:p>
          <w:p>
            <w:pPr>
              <w:pStyle w:val="TableParagraph"/>
              <w:spacing w:line="240" w:lineRule="auto"/>
              <w:ind w:left="0"/>
              <w:rPr>
                <w:b/>
                <w:sz w:val="22"/>
              </w:rPr>
            </w:pPr>
          </w:p>
          <w:p>
            <w:pPr>
              <w:pStyle w:val="TableParagraph"/>
              <w:spacing w:line="240" w:lineRule="auto"/>
              <w:ind w:left="317" w:right="93"/>
              <w:jc w:val="both"/>
              <w:rPr>
                <w:i/>
                <w:sz w:val="22"/>
              </w:rPr>
            </w:pPr>
            <w:r>
              <w:rPr>
                <w:i/>
                <w:sz w:val="22"/>
              </w:rPr>
              <w:t>‘’Diamond giant, Debswana, expects to produce 23.6</w:t>
            </w:r>
            <w:r>
              <w:rPr>
                <w:i/>
                <w:sz w:val="22"/>
              </w:rPr>
              <w:t> million</w:t>
            </w:r>
            <w:r>
              <w:rPr>
                <w:i/>
                <w:spacing w:val="-3"/>
                <w:sz w:val="22"/>
              </w:rPr>
              <w:t> </w:t>
            </w:r>
            <w:r>
              <w:rPr>
                <w:i/>
                <w:sz w:val="22"/>
              </w:rPr>
              <w:t>carats</w:t>
            </w:r>
            <w:r>
              <w:rPr>
                <w:i/>
                <w:spacing w:val="-3"/>
                <w:sz w:val="22"/>
              </w:rPr>
              <w:t> </w:t>
            </w:r>
            <w:r>
              <w:rPr>
                <w:i/>
                <w:sz w:val="22"/>
              </w:rPr>
              <w:t>this</w:t>
            </w:r>
            <w:r>
              <w:rPr>
                <w:i/>
                <w:spacing w:val="-3"/>
                <w:sz w:val="22"/>
              </w:rPr>
              <w:t> </w:t>
            </w:r>
            <w:r>
              <w:rPr>
                <w:i/>
                <w:sz w:val="22"/>
              </w:rPr>
              <w:t>year,</w:t>
            </w:r>
            <w:r>
              <w:rPr>
                <w:i/>
                <w:spacing w:val="-3"/>
                <w:sz w:val="22"/>
              </w:rPr>
              <w:t> </w:t>
            </w:r>
            <w:r>
              <w:rPr>
                <w:i/>
                <w:sz w:val="22"/>
              </w:rPr>
              <w:t>the</w:t>
            </w:r>
            <w:r>
              <w:rPr>
                <w:i/>
                <w:spacing w:val="-5"/>
                <w:sz w:val="22"/>
              </w:rPr>
              <w:t> </w:t>
            </w:r>
            <w:r>
              <w:rPr>
                <w:i/>
                <w:sz w:val="22"/>
              </w:rPr>
              <w:t>highest</w:t>
            </w:r>
            <w:r>
              <w:rPr>
                <w:i/>
                <w:spacing w:val="-2"/>
                <w:sz w:val="22"/>
              </w:rPr>
              <w:t> </w:t>
            </w:r>
            <w:r>
              <w:rPr>
                <w:i/>
                <w:sz w:val="22"/>
              </w:rPr>
              <w:t>since</w:t>
            </w:r>
            <w:r>
              <w:rPr>
                <w:i/>
                <w:spacing w:val="-3"/>
                <w:sz w:val="22"/>
              </w:rPr>
              <w:t> </w:t>
            </w:r>
            <w:r>
              <w:rPr>
                <w:i/>
                <w:sz w:val="22"/>
              </w:rPr>
              <w:t>2018,</w:t>
            </w:r>
            <w:r>
              <w:rPr>
                <w:i/>
                <w:spacing w:val="-3"/>
                <w:sz w:val="22"/>
              </w:rPr>
              <w:t> </w:t>
            </w:r>
            <w:r>
              <w:rPr>
                <w:i/>
                <w:sz w:val="22"/>
              </w:rPr>
              <w:t>despite</w:t>
            </w:r>
            <w:r>
              <w:rPr>
                <w:i/>
                <w:spacing w:val="-5"/>
                <w:sz w:val="22"/>
              </w:rPr>
              <w:t> </w:t>
            </w:r>
            <w:r>
              <w:rPr>
                <w:i/>
                <w:sz w:val="22"/>
              </w:rPr>
              <w:t>a P1 billion increase in operating costs and headwinds in the global economy. Last year, Debswana’s local mines produced 22.3 million carats which at the time represented the highest level since 2019, helped along</w:t>
            </w:r>
            <w:r>
              <w:rPr>
                <w:i/>
                <w:spacing w:val="40"/>
                <w:sz w:val="22"/>
              </w:rPr>
              <w:t> </w:t>
            </w:r>
            <w:r>
              <w:rPr>
                <w:i/>
                <w:sz w:val="22"/>
              </w:rPr>
              <w:t>by a rebound in the global economy from COVID-19</w:t>
            </w:r>
            <w:r>
              <w:rPr>
                <w:i/>
                <w:spacing w:val="40"/>
                <w:sz w:val="22"/>
              </w:rPr>
              <w:t> </w:t>
            </w:r>
            <w:r>
              <w:rPr>
                <w:i/>
                <w:sz w:val="22"/>
              </w:rPr>
              <w:t>and resurgent demand for the precious stones’’.</w:t>
            </w:r>
          </w:p>
        </w:tc>
        <w:tc>
          <w:tcPr>
            <w:tcW w:w="3260" w:type="dxa"/>
          </w:tcPr>
          <w:p>
            <w:pPr>
              <w:pStyle w:val="TableParagraph"/>
              <w:numPr>
                <w:ilvl w:val="0"/>
                <w:numId w:val="5"/>
              </w:numPr>
              <w:tabs>
                <w:tab w:pos="765" w:val="left" w:leader="none"/>
                <w:tab w:pos="766" w:val="left" w:leader="none"/>
              </w:tabs>
              <w:spacing w:line="285" w:lineRule="auto" w:before="41" w:after="0"/>
              <w:ind w:left="907" w:right="221" w:hanging="567"/>
              <w:jc w:val="left"/>
              <w:rPr>
                <w:sz w:val="22"/>
              </w:rPr>
            </w:pPr>
            <w:r>
              <w:rPr>
                <w:sz w:val="22"/>
              </w:rPr>
              <w:t>Improved</w:t>
            </w:r>
            <w:r>
              <w:rPr>
                <w:spacing w:val="-14"/>
                <w:sz w:val="22"/>
              </w:rPr>
              <w:t> </w:t>
            </w:r>
            <w:r>
              <w:rPr>
                <w:sz w:val="22"/>
              </w:rPr>
              <w:t>performance</w:t>
            </w:r>
            <w:r>
              <w:rPr>
                <w:spacing w:val="-14"/>
                <w:sz w:val="22"/>
              </w:rPr>
              <w:t> </w:t>
            </w:r>
            <w:r>
              <w:rPr>
                <w:sz w:val="22"/>
              </w:rPr>
              <w:t>of the mining sector</w:t>
            </w:r>
          </w:p>
          <w:p>
            <w:pPr>
              <w:pStyle w:val="TableParagraph"/>
              <w:numPr>
                <w:ilvl w:val="0"/>
                <w:numId w:val="5"/>
              </w:numPr>
              <w:tabs>
                <w:tab w:pos="765" w:val="left" w:leader="none"/>
                <w:tab w:pos="766" w:val="left" w:leader="none"/>
              </w:tabs>
              <w:spacing w:line="285" w:lineRule="auto" w:before="0" w:after="0"/>
              <w:ind w:left="765" w:right="96" w:hanging="425"/>
              <w:jc w:val="left"/>
              <w:rPr>
                <w:sz w:val="22"/>
              </w:rPr>
            </w:pPr>
            <w:r>
              <w:rPr>
                <w:sz w:val="22"/>
              </w:rPr>
              <w:t>Improved</w:t>
            </w:r>
            <w:r>
              <w:rPr>
                <w:spacing w:val="40"/>
                <w:sz w:val="22"/>
              </w:rPr>
              <w:t> </w:t>
            </w:r>
            <w:r>
              <w:rPr>
                <w:sz w:val="22"/>
              </w:rPr>
              <w:t>performance</w:t>
            </w:r>
            <w:r>
              <w:rPr>
                <w:spacing w:val="40"/>
                <w:sz w:val="22"/>
              </w:rPr>
              <w:t> </w:t>
            </w:r>
            <w:r>
              <w:rPr>
                <w:sz w:val="22"/>
              </w:rPr>
              <w:t>of revenue collections</w:t>
            </w:r>
          </w:p>
        </w:tc>
      </w:tr>
      <w:tr>
        <w:trPr>
          <w:trHeight w:val="2781" w:hRule="atLeast"/>
        </w:trPr>
        <w:tc>
          <w:tcPr>
            <w:tcW w:w="1500" w:type="dxa"/>
          </w:tcPr>
          <w:p>
            <w:pPr>
              <w:pStyle w:val="TableParagraph"/>
              <w:spacing w:line="240" w:lineRule="auto"/>
              <w:ind w:right="165"/>
              <w:rPr>
                <w:sz w:val="22"/>
              </w:rPr>
            </w:pPr>
            <w:r>
              <w:rPr>
                <w:spacing w:val="-2"/>
                <w:sz w:val="22"/>
              </w:rPr>
              <w:t>Mmegi Newspaper, 9</w:t>
            </w:r>
            <w:r>
              <w:rPr>
                <w:spacing w:val="-2"/>
                <w:sz w:val="22"/>
                <w:vertAlign w:val="superscript"/>
              </w:rPr>
              <w:t>th</w:t>
            </w:r>
            <w:r>
              <w:rPr>
                <w:spacing w:val="-24"/>
                <w:sz w:val="22"/>
                <w:vertAlign w:val="baseline"/>
              </w:rPr>
              <w:t> </w:t>
            </w:r>
            <w:r>
              <w:rPr>
                <w:spacing w:val="-2"/>
                <w:sz w:val="22"/>
                <w:vertAlign w:val="baseline"/>
              </w:rPr>
              <w:t>September </w:t>
            </w:r>
            <w:r>
              <w:rPr>
                <w:spacing w:val="-4"/>
                <w:sz w:val="22"/>
                <w:vertAlign w:val="baseline"/>
              </w:rPr>
              <w:t>2022</w:t>
            </w:r>
          </w:p>
        </w:tc>
        <w:tc>
          <w:tcPr>
            <w:tcW w:w="5449" w:type="dxa"/>
          </w:tcPr>
          <w:p>
            <w:pPr>
              <w:pStyle w:val="TableParagraph"/>
              <w:spacing w:line="247" w:lineRule="exact"/>
              <w:ind w:left="468"/>
              <w:rPr>
                <w:i/>
                <w:sz w:val="22"/>
              </w:rPr>
            </w:pPr>
            <w:r>
              <w:rPr>
                <w:i/>
                <w:sz w:val="22"/>
              </w:rPr>
              <w:t>iii.</w:t>
            </w:r>
            <w:r>
              <w:rPr>
                <w:i/>
                <w:spacing w:val="28"/>
                <w:sz w:val="22"/>
              </w:rPr>
              <w:t>  </w:t>
            </w:r>
            <w:r>
              <w:rPr>
                <w:i/>
                <w:sz w:val="22"/>
              </w:rPr>
              <w:t>Farmers</w:t>
            </w:r>
            <w:r>
              <w:rPr>
                <w:i/>
                <w:spacing w:val="-3"/>
                <w:sz w:val="22"/>
              </w:rPr>
              <w:t> </w:t>
            </w:r>
            <w:r>
              <w:rPr>
                <w:i/>
                <w:sz w:val="22"/>
              </w:rPr>
              <w:t>in</w:t>
            </w:r>
            <w:r>
              <w:rPr>
                <w:i/>
                <w:spacing w:val="-1"/>
                <w:sz w:val="22"/>
              </w:rPr>
              <w:t> </w:t>
            </w:r>
            <w:r>
              <w:rPr>
                <w:i/>
                <w:sz w:val="22"/>
              </w:rPr>
              <w:t>panic</w:t>
            </w:r>
            <w:r>
              <w:rPr>
                <w:i/>
                <w:spacing w:val="-2"/>
                <w:sz w:val="22"/>
              </w:rPr>
              <w:t> </w:t>
            </w:r>
            <w:r>
              <w:rPr>
                <w:i/>
                <w:sz w:val="22"/>
              </w:rPr>
              <w:t>mode</w:t>
            </w:r>
            <w:r>
              <w:rPr>
                <w:i/>
                <w:spacing w:val="-4"/>
                <w:sz w:val="22"/>
              </w:rPr>
              <w:t> </w:t>
            </w:r>
            <w:r>
              <w:rPr>
                <w:i/>
                <w:sz w:val="22"/>
              </w:rPr>
              <w:t>following</w:t>
            </w:r>
            <w:r>
              <w:rPr>
                <w:i/>
                <w:spacing w:val="-2"/>
                <w:sz w:val="22"/>
              </w:rPr>
              <w:t> </w:t>
            </w:r>
            <w:r>
              <w:rPr>
                <w:i/>
                <w:sz w:val="22"/>
              </w:rPr>
              <w:t>FMD</w:t>
            </w:r>
            <w:r>
              <w:rPr>
                <w:i/>
                <w:spacing w:val="-2"/>
                <w:sz w:val="22"/>
              </w:rPr>
              <w:t> outbreak</w:t>
            </w:r>
          </w:p>
          <w:p>
            <w:pPr>
              <w:pStyle w:val="TableParagraph"/>
              <w:spacing w:line="240" w:lineRule="auto"/>
              <w:ind w:left="0"/>
              <w:rPr>
                <w:b/>
                <w:sz w:val="22"/>
              </w:rPr>
            </w:pPr>
          </w:p>
          <w:p>
            <w:pPr>
              <w:pStyle w:val="TableParagraph"/>
              <w:spacing w:line="240" w:lineRule="auto"/>
              <w:ind w:left="317" w:right="94"/>
              <w:jc w:val="both"/>
              <w:rPr>
                <w:i/>
                <w:sz w:val="22"/>
              </w:rPr>
            </w:pPr>
            <w:r>
              <w:rPr>
                <w:sz w:val="22"/>
              </w:rPr>
              <w:t>“</w:t>
            </w:r>
            <w:r>
              <w:rPr>
                <w:i/>
                <w:sz w:val="22"/>
              </w:rPr>
              <w:t>The Foot and Mouth Disease (FMD) outbreak has</w:t>
            </w:r>
            <w:r>
              <w:rPr>
                <w:i/>
                <w:sz w:val="22"/>
              </w:rPr>
              <w:t> stirred panic amongst farmers in the North East District (NED). The region has over the last two decades been experiencing the recurrence problem of FMD due to a number of reasons amongst them elephants destroying the border fence paving way for cattle to move freely between Botswana and Zimbabwe, thus spreading the </w:t>
            </w:r>
            <w:r>
              <w:rPr>
                <w:i/>
                <w:spacing w:val="-2"/>
                <w:sz w:val="22"/>
              </w:rPr>
              <w:t>disease.”</w:t>
            </w:r>
          </w:p>
        </w:tc>
        <w:tc>
          <w:tcPr>
            <w:tcW w:w="3260" w:type="dxa"/>
          </w:tcPr>
          <w:p>
            <w:pPr>
              <w:pStyle w:val="TableParagraph"/>
              <w:spacing w:line="247" w:lineRule="exact"/>
              <w:ind w:left="108"/>
              <w:rPr>
                <w:sz w:val="22"/>
              </w:rPr>
            </w:pPr>
            <w:r>
              <w:rPr>
                <w:sz w:val="22"/>
              </w:rPr>
              <w:t>Decrease</w:t>
            </w:r>
            <w:r>
              <w:rPr>
                <w:spacing w:val="-4"/>
                <w:sz w:val="22"/>
              </w:rPr>
              <w:t> </w:t>
            </w:r>
            <w:r>
              <w:rPr>
                <w:sz w:val="22"/>
              </w:rPr>
              <w:t>in</w:t>
            </w:r>
            <w:r>
              <w:rPr>
                <w:spacing w:val="-3"/>
                <w:sz w:val="22"/>
              </w:rPr>
              <w:t> </w:t>
            </w:r>
            <w:r>
              <w:rPr>
                <w:sz w:val="22"/>
              </w:rPr>
              <w:t>beef</w:t>
            </w:r>
            <w:r>
              <w:rPr>
                <w:spacing w:val="-4"/>
                <w:sz w:val="22"/>
              </w:rPr>
              <w:t> </w:t>
            </w:r>
            <w:r>
              <w:rPr>
                <w:sz w:val="22"/>
              </w:rPr>
              <w:t>export</w:t>
            </w:r>
            <w:r>
              <w:rPr>
                <w:spacing w:val="-3"/>
                <w:sz w:val="22"/>
              </w:rPr>
              <w:t> </w:t>
            </w:r>
            <w:r>
              <w:rPr>
                <w:spacing w:val="-2"/>
                <w:sz w:val="22"/>
              </w:rPr>
              <w:t>sales.</w:t>
            </w:r>
          </w:p>
        </w:tc>
      </w:tr>
      <w:tr>
        <w:trPr>
          <w:trHeight w:val="4555" w:hRule="atLeast"/>
        </w:trPr>
        <w:tc>
          <w:tcPr>
            <w:tcW w:w="1500" w:type="dxa"/>
          </w:tcPr>
          <w:p>
            <w:pPr>
              <w:pStyle w:val="TableParagraph"/>
              <w:spacing w:line="240" w:lineRule="auto"/>
              <w:ind w:right="162"/>
              <w:rPr>
                <w:sz w:val="22"/>
              </w:rPr>
            </w:pPr>
            <w:r>
              <w:rPr>
                <w:sz w:val="22"/>
              </w:rPr>
              <w:t>Bank of </w:t>
            </w:r>
            <w:r>
              <w:rPr>
                <w:spacing w:val="-2"/>
                <w:sz w:val="22"/>
              </w:rPr>
              <w:t>Botswana September </w:t>
            </w:r>
            <w:r>
              <w:rPr>
                <w:spacing w:val="-4"/>
                <w:sz w:val="22"/>
              </w:rPr>
              <w:t>2022</w:t>
            </w:r>
          </w:p>
        </w:tc>
        <w:tc>
          <w:tcPr>
            <w:tcW w:w="5449" w:type="dxa"/>
          </w:tcPr>
          <w:p>
            <w:pPr>
              <w:pStyle w:val="TableParagraph"/>
              <w:spacing w:line="249" w:lineRule="exact"/>
              <w:ind w:left="468"/>
              <w:rPr>
                <w:i/>
                <w:sz w:val="22"/>
              </w:rPr>
            </w:pPr>
            <w:r>
              <w:rPr>
                <w:i/>
                <w:sz w:val="22"/>
              </w:rPr>
              <w:t>iv.</w:t>
            </w:r>
            <w:r>
              <w:rPr>
                <w:i/>
                <w:spacing w:val="53"/>
                <w:w w:val="150"/>
                <w:sz w:val="22"/>
              </w:rPr>
              <w:t> </w:t>
            </w:r>
            <w:r>
              <w:rPr>
                <w:i/>
                <w:sz w:val="22"/>
              </w:rPr>
              <w:t>Optimistic</w:t>
            </w:r>
            <w:r>
              <w:rPr>
                <w:i/>
                <w:spacing w:val="-4"/>
                <w:sz w:val="22"/>
              </w:rPr>
              <w:t> </w:t>
            </w:r>
            <w:r>
              <w:rPr>
                <w:i/>
                <w:sz w:val="22"/>
              </w:rPr>
              <w:t>Business</w:t>
            </w:r>
            <w:r>
              <w:rPr>
                <w:i/>
                <w:spacing w:val="-5"/>
                <w:sz w:val="22"/>
              </w:rPr>
              <w:t> </w:t>
            </w:r>
            <w:r>
              <w:rPr>
                <w:i/>
                <w:sz w:val="22"/>
              </w:rPr>
              <w:t>conditions</w:t>
            </w:r>
            <w:r>
              <w:rPr>
                <w:i/>
                <w:spacing w:val="-3"/>
                <w:sz w:val="22"/>
              </w:rPr>
              <w:t> </w:t>
            </w:r>
            <w:r>
              <w:rPr>
                <w:i/>
                <w:spacing w:val="-2"/>
                <w:sz w:val="22"/>
              </w:rPr>
              <w:t>ahead.</w:t>
            </w:r>
          </w:p>
          <w:p>
            <w:pPr>
              <w:pStyle w:val="TableParagraph"/>
              <w:spacing w:line="240" w:lineRule="auto" w:before="9"/>
              <w:ind w:left="0"/>
              <w:rPr>
                <w:b/>
                <w:sz w:val="21"/>
              </w:rPr>
            </w:pPr>
          </w:p>
          <w:p>
            <w:pPr>
              <w:pStyle w:val="TableParagraph"/>
              <w:spacing w:line="240" w:lineRule="auto"/>
              <w:ind w:left="317" w:right="94" w:firstLine="141"/>
              <w:jc w:val="both"/>
              <w:rPr>
                <w:i/>
                <w:sz w:val="22"/>
              </w:rPr>
            </w:pPr>
            <w:r>
              <w:rPr>
                <w:i/>
                <w:sz w:val="22"/>
              </w:rPr>
              <w:t>“The results of the Survey suggest that firms are</w:t>
            </w:r>
            <w:r>
              <w:rPr>
                <w:i/>
                <w:sz w:val="22"/>
              </w:rPr>
              <w:t> optimistic about business conditions in the third quarter of 2022 compared to the pessimism that prevailed in the second quarter. The optimism is reflected by firms’ expectations of positive domestic economic</w:t>
            </w:r>
            <w:r>
              <w:rPr>
                <w:i/>
                <w:spacing w:val="40"/>
                <w:sz w:val="22"/>
              </w:rPr>
              <w:t> </w:t>
            </w:r>
            <w:r>
              <w:rPr>
                <w:i/>
                <w:sz w:val="22"/>
              </w:rPr>
              <w:t>performance, hence, some expected improvements in investment in plant, machinery, buildings, vehicles, equipment and other investment, compared to the June 2022 survey. Firms anticipate tight access to credit across all markets as central banks continue to increase rates amid high levels of inflation. Firms also expect</w:t>
            </w:r>
            <w:r>
              <w:rPr>
                <w:i/>
                <w:spacing w:val="40"/>
                <w:sz w:val="22"/>
              </w:rPr>
              <w:t> </w:t>
            </w:r>
            <w:r>
              <w:rPr>
                <w:i/>
                <w:sz w:val="22"/>
              </w:rPr>
              <w:t>cost pressures to remain high in the fourth quarter of 2022, mainly due to supply constraints arising from the Ukraine-Russia</w:t>
            </w:r>
            <w:r>
              <w:rPr>
                <w:i/>
                <w:spacing w:val="42"/>
                <w:sz w:val="22"/>
              </w:rPr>
              <w:t> </w:t>
            </w:r>
            <w:r>
              <w:rPr>
                <w:i/>
                <w:sz w:val="22"/>
              </w:rPr>
              <w:t>war.</w:t>
            </w:r>
            <w:r>
              <w:rPr>
                <w:i/>
                <w:spacing w:val="43"/>
                <w:sz w:val="22"/>
              </w:rPr>
              <w:t> </w:t>
            </w:r>
            <w:r>
              <w:rPr>
                <w:i/>
                <w:sz w:val="22"/>
              </w:rPr>
              <w:t>Firms</w:t>
            </w:r>
            <w:r>
              <w:rPr>
                <w:i/>
                <w:spacing w:val="44"/>
                <w:sz w:val="22"/>
              </w:rPr>
              <w:t> </w:t>
            </w:r>
            <w:r>
              <w:rPr>
                <w:i/>
                <w:sz w:val="22"/>
              </w:rPr>
              <w:t>expect</w:t>
            </w:r>
            <w:r>
              <w:rPr>
                <w:i/>
                <w:spacing w:val="41"/>
                <w:sz w:val="22"/>
              </w:rPr>
              <w:t> </w:t>
            </w:r>
            <w:r>
              <w:rPr>
                <w:i/>
                <w:sz w:val="22"/>
              </w:rPr>
              <w:t>inflation</w:t>
            </w:r>
            <w:r>
              <w:rPr>
                <w:i/>
                <w:spacing w:val="43"/>
                <w:sz w:val="22"/>
              </w:rPr>
              <w:t> </w:t>
            </w:r>
            <w:r>
              <w:rPr>
                <w:i/>
                <w:sz w:val="22"/>
              </w:rPr>
              <w:t>to</w:t>
            </w:r>
            <w:r>
              <w:rPr>
                <w:i/>
                <w:spacing w:val="41"/>
                <w:sz w:val="22"/>
              </w:rPr>
              <w:t> </w:t>
            </w:r>
            <w:r>
              <w:rPr>
                <w:i/>
                <w:spacing w:val="-2"/>
                <w:sz w:val="22"/>
              </w:rPr>
              <w:t>remain</w:t>
            </w:r>
          </w:p>
          <w:p>
            <w:pPr>
              <w:pStyle w:val="TableParagraph"/>
              <w:spacing w:line="250" w:lineRule="atLeast"/>
              <w:ind w:left="317" w:right="96"/>
              <w:jc w:val="both"/>
              <w:rPr>
                <w:i/>
                <w:sz w:val="22"/>
              </w:rPr>
            </w:pPr>
            <w:r>
              <w:rPr>
                <w:i/>
                <w:sz w:val="22"/>
              </w:rPr>
              <w:t>above the Bank’s 3 - 6 percent objective range in 2022</w:t>
            </w:r>
            <w:r>
              <w:rPr>
                <w:i/>
                <w:sz w:val="22"/>
              </w:rPr>
              <w:t> and 2023. Overall, the increase in business”.</w:t>
            </w:r>
          </w:p>
        </w:tc>
        <w:tc>
          <w:tcPr>
            <w:tcW w:w="3260" w:type="dxa"/>
          </w:tcPr>
          <w:p>
            <w:pPr>
              <w:pStyle w:val="TableParagraph"/>
              <w:spacing w:line="240" w:lineRule="auto"/>
              <w:ind w:left="108" w:right="126"/>
              <w:rPr>
                <w:sz w:val="22"/>
              </w:rPr>
            </w:pPr>
            <w:r>
              <w:rPr>
                <w:sz w:val="22"/>
              </w:rPr>
              <w:t>Improved investor confidence following</w:t>
            </w:r>
            <w:r>
              <w:rPr>
                <w:spacing w:val="-14"/>
                <w:sz w:val="22"/>
              </w:rPr>
              <w:t> </w:t>
            </w:r>
            <w:r>
              <w:rPr>
                <w:sz w:val="22"/>
              </w:rPr>
              <w:t>relaxation</w:t>
            </w:r>
            <w:r>
              <w:rPr>
                <w:spacing w:val="-13"/>
                <w:sz w:val="22"/>
              </w:rPr>
              <w:t> </w:t>
            </w:r>
            <w:r>
              <w:rPr>
                <w:sz w:val="22"/>
              </w:rPr>
              <w:t>of</w:t>
            </w:r>
            <w:r>
              <w:rPr>
                <w:spacing w:val="-11"/>
                <w:sz w:val="22"/>
              </w:rPr>
              <w:t> </w:t>
            </w:r>
            <w:r>
              <w:rPr>
                <w:sz w:val="22"/>
              </w:rPr>
              <w:t>COVID- 19 measures.</w:t>
            </w:r>
          </w:p>
        </w:tc>
      </w:tr>
    </w:tbl>
    <w:p>
      <w:pPr>
        <w:spacing w:after="0" w:line="240" w:lineRule="auto"/>
        <w:rPr>
          <w:sz w:val="22"/>
        </w:rPr>
        <w:sectPr>
          <w:pgSz w:w="11910" w:h="16840"/>
          <w:pgMar w:header="0" w:footer="1003" w:top="1340" w:bottom="1200" w:left="780" w:right="680"/>
        </w:sectPr>
      </w:pPr>
    </w:p>
    <w:tbl>
      <w:tblPr>
        <w:tblW w:w="0" w:type="auto"/>
        <w:jc w:val="left"/>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00"/>
        <w:gridCol w:w="5449"/>
        <w:gridCol w:w="3260"/>
      </w:tblGrid>
      <w:tr>
        <w:trPr>
          <w:trHeight w:val="3036" w:hRule="atLeast"/>
        </w:trPr>
        <w:tc>
          <w:tcPr>
            <w:tcW w:w="1500" w:type="dxa"/>
          </w:tcPr>
          <w:p>
            <w:pPr>
              <w:pStyle w:val="TableParagraph"/>
              <w:spacing w:line="240" w:lineRule="auto"/>
              <w:rPr>
                <w:sz w:val="22"/>
              </w:rPr>
            </w:pPr>
            <w:r>
              <w:rPr>
                <w:sz w:val="22"/>
              </w:rPr>
              <w:t>Bank of </w:t>
            </w:r>
            <w:r>
              <w:rPr>
                <w:spacing w:val="-2"/>
                <w:sz w:val="22"/>
              </w:rPr>
              <w:t>Botswana </w:t>
            </w:r>
            <w:r>
              <w:rPr>
                <w:sz w:val="22"/>
              </w:rPr>
              <w:t>September</w:t>
            </w:r>
            <w:r>
              <w:rPr>
                <w:spacing w:val="-14"/>
                <w:sz w:val="22"/>
              </w:rPr>
              <w:t> </w:t>
            </w:r>
            <w:r>
              <w:rPr>
                <w:sz w:val="22"/>
              </w:rPr>
              <w:t>16</w:t>
            </w:r>
          </w:p>
          <w:p>
            <w:pPr>
              <w:pStyle w:val="TableParagraph"/>
              <w:spacing w:line="240" w:lineRule="auto"/>
              <w:rPr>
                <w:sz w:val="22"/>
              </w:rPr>
            </w:pPr>
            <w:r>
              <w:rPr>
                <w:spacing w:val="-4"/>
                <w:sz w:val="22"/>
              </w:rPr>
              <w:t>2022</w:t>
            </w:r>
          </w:p>
        </w:tc>
        <w:tc>
          <w:tcPr>
            <w:tcW w:w="5449" w:type="dxa"/>
          </w:tcPr>
          <w:p>
            <w:pPr>
              <w:pStyle w:val="TableParagraph"/>
              <w:spacing w:line="242" w:lineRule="auto"/>
              <w:ind w:left="741" w:hanging="142"/>
              <w:rPr>
                <w:i/>
                <w:sz w:val="22"/>
              </w:rPr>
            </w:pPr>
            <w:r>
              <w:rPr>
                <w:i/>
                <w:sz w:val="22"/>
              </w:rPr>
              <w:t>v. Positive</w:t>
            </w:r>
            <w:r>
              <w:rPr>
                <w:i/>
                <w:spacing w:val="40"/>
                <w:sz w:val="22"/>
              </w:rPr>
              <w:t> </w:t>
            </w:r>
            <w:r>
              <w:rPr>
                <w:i/>
                <w:sz w:val="22"/>
              </w:rPr>
              <w:t>Standard</w:t>
            </w:r>
            <w:r>
              <w:rPr>
                <w:i/>
                <w:spacing w:val="40"/>
                <w:sz w:val="22"/>
              </w:rPr>
              <w:t> </w:t>
            </w:r>
            <w:r>
              <w:rPr>
                <w:i/>
                <w:sz w:val="22"/>
              </w:rPr>
              <w:t>and</w:t>
            </w:r>
            <w:r>
              <w:rPr>
                <w:i/>
                <w:spacing w:val="40"/>
                <w:sz w:val="22"/>
              </w:rPr>
              <w:t> </w:t>
            </w:r>
            <w:r>
              <w:rPr>
                <w:i/>
                <w:sz w:val="22"/>
              </w:rPr>
              <w:t>Poor’s</w:t>
            </w:r>
            <w:r>
              <w:rPr>
                <w:i/>
                <w:spacing w:val="40"/>
                <w:sz w:val="22"/>
              </w:rPr>
              <w:t> </w:t>
            </w:r>
            <w:r>
              <w:rPr>
                <w:i/>
                <w:sz w:val="22"/>
              </w:rPr>
              <w:t>Sovereign</w:t>
            </w:r>
            <w:r>
              <w:rPr>
                <w:i/>
                <w:spacing w:val="40"/>
                <w:sz w:val="22"/>
              </w:rPr>
              <w:t> </w:t>
            </w:r>
            <w:r>
              <w:rPr>
                <w:i/>
                <w:sz w:val="22"/>
              </w:rPr>
              <w:t>Credit</w:t>
            </w:r>
            <w:r>
              <w:rPr>
                <w:i/>
                <w:sz w:val="22"/>
              </w:rPr>
              <w:t> Rating and Economic Outlook for Botswana</w:t>
            </w:r>
          </w:p>
          <w:p>
            <w:pPr>
              <w:pStyle w:val="TableParagraph"/>
              <w:spacing w:line="240" w:lineRule="auto" w:before="11"/>
              <w:ind w:left="0"/>
              <w:rPr>
                <w:b/>
                <w:sz w:val="20"/>
              </w:rPr>
            </w:pPr>
          </w:p>
          <w:p>
            <w:pPr>
              <w:pStyle w:val="TableParagraph"/>
              <w:spacing w:line="240" w:lineRule="auto"/>
              <w:ind w:left="317" w:right="93"/>
              <w:jc w:val="both"/>
              <w:rPr>
                <w:i/>
                <w:sz w:val="22"/>
              </w:rPr>
            </w:pPr>
            <w:r>
              <w:rPr>
                <w:i/>
                <w:sz w:val="22"/>
              </w:rPr>
              <w:t>On September 16, 2022, S&amp;P Global Ratings (S&amp;P)</w:t>
            </w:r>
            <w:r>
              <w:rPr>
                <w:i/>
                <w:sz w:val="22"/>
              </w:rPr>
              <w:t> released an update of the sovereign credit rating for Botswana. The rating agency maintained the country’s sovereign credit rating for long and short term foreign and local currency sovereign credit at “BBB+/A-2”,</w:t>
            </w:r>
            <w:r>
              <w:rPr>
                <w:i/>
                <w:spacing w:val="40"/>
                <w:sz w:val="22"/>
              </w:rPr>
              <w:t> </w:t>
            </w:r>
            <w:r>
              <w:rPr>
                <w:i/>
                <w:sz w:val="22"/>
              </w:rPr>
              <w:t>and the stable outlook. The stable outlook is on account of S&amp;P’s expectation that the demand for Botswana’s diamond</w:t>
            </w:r>
            <w:r>
              <w:rPr>
                <w:i/>
                <w:spacing w:val="66"/>
                <w:sz w:val="22"/>
              </w:rPr>
              <w:t> </w:t>
            </w:r>
            <w:r>
              <w:rPr>
                <w:i/>
                <w:sz w:val="22"/>
              </w:rPr>
              <w:t>will</w:t>
            </w:r>
            <w:r>
              <w:rPr>
                <w:i/>
                <w:spacing w:val="66"/>
                <w:sz w:val="22"/>
              </w:rPr>
              <w:t> </w:t>
            </w:r>
            <w:r>
              <w:rPr>
                <w:i/>
                <w:sz w:val="22"/>
              </w:rPr>
              <w:t>remain</w:t>
            </w:r>
            <w:r>
              <w:rPr>
                <w:i/>
                <w:spacing w:val="66"/>
                <w:sz w:val="22"/>
              </w:rPr>
              <w:t> </w:t>
            </w:r>
            <w:r>
              <w:rPr>
                <w:i/>
                <w:sz w:val="22"/>
              </w:rPr>
              <w:t>strong</w:t>
            </w:r>
            <w:r>
              <w:rPr>
                <w:i/>
                <w:spacing w:val="67"/>
                <w:sz w:val="22"/>
              </w:rPr>
              <w:t> </w:t>
            </w:r>
            <w:r>
              <w:rPr>
                <w:i/>
                <w:sz w:val="22"/>
              </w:rPr>
              <w:t>against</w:t>
            </w:r>
            <w:r>
              <w:rPr>
                <w:i/>
                <w:spacing w:val="67"/>
                <w:sz w:val="22"/>
              </w:rPr>
              <w:t> </w:t>
            </w:r>
            <w:r>
              <w:rPr>
                <w:i/>
                <w:sz w:val="22"/>
              </w:rPr>
              <w:t>downsides</w:t>
            </w:r>
            <w:r>
              <w:rPr>
                <w:i/>
                <w:spacing w:val="66"/>
                <w:sz w:val="22"/>
              </w:rPr>
              <w:t> </w:t>
            </w:r>
            <w:r>
              <w:rPr>
                <w:i/>
                <w:spacing w:val="-4"/>
                <w:sz w:val="22"/>
              </w:rPr>
              <w:t>risks</w:t>
            </w:r>
          </w:p>
          <w:p>
            <w:pPr>
              <w:pStyle w:val="TableParagraph"/>
              <w:spacing w:line="238" w:lineRule="exact" w:before="2"/>
              <w:ind w:left="317"/>
              <w:jc w:val="both"/>
              <w:rPr>
                <w:i/>
                <w:sz w:val="22"/>
              </w:rPr>
            </w:pPr>
            <w:r>
              <w:rPr>
                <w:i/>
                <w:sz w:val="22"/>
              </w:rPr>
              <w:t>presented</w:t>
            </w:r>
            <w:r>
              <w:rPr>
                <w:i/>
                <w:spacing w:val="-4"/>
                <w:sz w:val="22"/>
              </w:rPr>
              <w:t> </w:t>
            </w:r>
            <w:r>
              <w:rPr>
                <w:i/>
                <w:sz w:val="22"/>
              </w:rPr>
              <w:t>by</w:t>
            </w:r>
            <w:r>
              <w:rPr>
                <w:i/>
                <w:spacing w:val="-5"/>
                <w:sz w:val="22"/>
              </w:rPr>
              <w:t> </w:t>
            </w:r>
            <w:r>
              <w:rPr>
                <w:i/>
                <w:sz w:val="22"/>
              </w:rPr>
              <w:t>the</w:t>
            </w:r>
            <w:r>
              <w:rPr>
                <w:i/>
                <w:spacing w:val="-3"/>
                <w:sz w:val="22"/>
              </w:rPr>
              <w:t> </w:t>
            </w:r>
            <w:r>
              <w:rPr>
                <w:i/>
                <w:sz w:val="22"/>
              </w:rPr>
              <w:t>weakening</w:t>
            </w:r>
            <w:r>
              <w:rPr>
                <w:i/>
                <w:spacing w:val="-6"/>
                <w:sz w:val="22"/>
              </w:rPr>
              <w:t> </w:t>
            </w:r>
            <w:r>
              <w:rPr>
                <w:i/>
                <w:sz w:val="22"/>
              </w:rPr>
              <w:t>global</w:t>
            </w:r>
            <w:r>
              <w:rPr>
                <w:i/>
                <w:spacing w:val="-2"/>
                <w:sz w:val="22"/>
              </w:rPr>
              <w:t> </w:t>
            </w:r>
            <w:r>
              <w:rPr>
                <w:i/>
                <w:sz w:val="22"/>
              </w:rPr>
              <w:t>economic</w:t>
            </w:r>
            <w:r>
              <w:rPr>
                <w:i/>
                <w:spacing w:val="-3"/>
                <w:sz w:val="22"/>
              </w:rPr>
              <w:t> </w:t>
            </w:r>
            <w:r>
              <w:rPr>
                <w:i/>
                <w:spacing w:val="-2"/>
                <w:sz w:val="22"/>
              </w:rPr>
              <w:t>activity.</w:t>
            </w:r>
          </w:p>
        </w:tc>
        <w:tc>
          <w:tcPr>
            <w:tcW w:w="3260" w:type="dxa"/>
          </w:tcPr>
          <w:p>
            <w:pPr>
              <w:pStyle w:val="TableParagraph"/>
              <w:numPr>
                <w:ilvl w:val="0"/>
                <w:numId w:val="6"/>
              </w:numPr>
              <w:tabs>
                <w:tab w:pos="820" w:val="left" w:leader="none"/>
                <w:tab w:pos="821" w:val="left" w:leader="none"/>
              </w:tabs>
              <w:spacing w:line="242" w:lineRule="auto" w:before="0" w:after="0"/>
              <w:ind w:left="821" w:right="96" w:hanging="425"/>
              <w:jc w:val="left"/>
              <w:rPr>
                <w:sz w:val="22"/>
              </w:rPr>
            </w:pPr>
            <w:r>
              <w:rPr>
                <w:sz w:val="22"/>
              </w:rPr>
              <w:t>Stable</w:t>
            </w:r>
            <w:r>
              <w:rPr>
                <w:spacing w:val="80"/>
                <w:sz w:val="22"/>
              </w:rPr>
              <w:t> </w:t>
            </w:r>
            <w:r>
              <w:rPr>
                <w:sz w:val="22"/>
              </w:rPr>
              <w:t>outlook</w:t>
            </w:r>
            <w:r>
              <w:rPr>
                <w:spacing w:val="80"/>
                <w:sz w:val="22"/>
              </w:rPr>
              <w:t> </w:t>
            </w:r>
            <w:r>
              <w:rPr>
                <w:sz w:val="22"/>
              </w:rPr>
              <w:t>for</w:t>
            </w:r>
            <w:r>
              <w:rPr>
                <w:spacing w:val="80"/>
                <w:sz w:val="22"/>
              </w:rPr>
              <w:t> </w:t>
            </w:r>
            <w:r>
              <w:rPr>
                <w:sz w:val="22"/>
              </w:rPr>
              <w:t>the </w:t>
            </w:r>
            <w:r>
              <w:rPr>
                <w:spacing w:val="-2"/>
                <w:sz w:val="22"/>
              </w:rPr>
              <w:t>economy</w:t>
            </w:r>
          </w:p>
          <w:p>
            <w:pPr>
              <w:pStyle w:val="TableParagraph"/>
              <w:numPr>
                <w:ilvl w:val="0"/>
                <w:numId w:val="6"/>
              </w:numPr>
              <w:tabs>
                <w:tab w:pos="820" w:val="left" w:leader="none"/>
                <w:tab w:pos="821" w:val="left" w:leader="none"/>
              </w:tabs>
              <w:spacing w:line="249" w:lineRule="exact" w:before="0" w:after="0"/>
              <w:ind w:left="821" w:right="0" w:hanging="425"/>
              <w:jc w:val="left"/>
              <w:rPr>
                <w:sz w:val="22"/>
              </w:rPr>
            </w:pPr>
            <w:r>
              <w:rPr>
                <w:sz w:val="22"/>
              </w:rPr>
              <w:t>Strong</w:t>
            </w:r>
            <w:r>
              <w:rPr>
                <w:spacing w:val="-5"/>
                <w:sz w:val="22"/>
              </w:rPr>
              <w:t> </w:t>
            </w:r>
            <w:r>
              <w:rPr>
                <w:sz w:val="22"/>
              </w:rPr>
              <w:t>credit </w:t>
            </w:r>
            <w:r>
              <w:rPr>
                <w:spacing w:val="-2"/>
                <w:sz w:val="22"/>
              </w:rPr>
              <w:t>worthiness</w:t>
            </w:r>
          </w:p>
        </w:tc>
      </w:tr>
      <w:tr>
        <w:trPr>
          <w:trHeight w:val="2784" w:hRule="atLeast"/>
        </w:trPr>
        <w:tc>
          <w:tcPr>
            <w:tcW w:w="1500" w:type="dxa"/>
          </w:tcPr>
          <w:p>
            <w:pPr>
              <w:pStyle w:val="TableParagraph"/>
              <w:spacing w:line="242" w:lineRule="auto"/>
              <w:rPr>
                <w:sz w:val="22"/>
              </w:rPr>
            </w:pPr>
            <w:r>
              <w:rPr>
                <w:spacing w:val="-2"/>
                <w:sz w:val="22"/>
              </w:rPr>
              <w:t>Statistics, Botswana</w:t>
            </w:r>
          </w:p>
        </w:tc>
        <w:tc>
          <w:tcPr>
            <w:tcW w:w="5449" w:type="dxa"/>
          </w:tcPr>
          <w:p>
            <w:pPr>
              <w:pStyle w:val="TableParagraph"/>
              <w:spacing w:line="247" w:lineRule="exact"/>
              <w:ind w:left="468"/>
              <w:rPr>
                <w:i/>
                <w:sz w:val="22"/>
              </w:rPr>
            </w:pPr>
            <w:r>
              <w:rPr>
                <w:i/>
                <w:sz w:val="22"/>
              </w:rPr>
              <w:t>vi.</w:t>
            </w:r>
            <w:r>
              <w:rPr>
                <w:i/>
                <w:spacing w:val="42"/>
                <w:sz w:val="22"/>
              </w:rPr>
              <w:t>  </w:t>
            </w:r>
            <w:r>
              <w:rPr>
                <w:i/>
                <w:sz w:val="22"/>
              </w:rPr>
              <w:t>ICT contributes</w:t>
            </w:r>
            <w:r>
              <w:rPr>
                <w:i/>
                <w:spacing w:val="-1"/>
                <w:sz w:val="22"/>
              </w:rPr>
              <w:t> </w:t>
            </w:r>
            <w:r>
              <w:rPr>
                <w:i/>
                <w:sz w:val="22"/>
              </w:rPr>
              <w:t>2.7%</w:t>
            </w:r>
            <w:r>
              <w:rPr>
                <w:i/>
                <w:spacing w:val="-8"/>
                <w:sz w:val="22"/>
              </w:rPr>
              <w:t> </w:t>
            </w:r>
            <w:r>
              <w:rPr>
                <w:i/>
                <w:sz w:val="22"/>
              </w:rPr>
              <w:t>to </w:t>
            </w:r>
            <w:r>
              <w:rPr>
                <w:i/>
                <w:spacing w:val="-5"/>
                <w:sz w:val="22"/>
              </w:rPr>
              <w:t>GDP</w:t>
            </w:r>
          </w:p>
          <w:p>
            <w:pPr>
              <w:pStyle w:val="TableParagraph"/>
              <w:spacing w:line="240" w:lineRule="auto"/>
              <w:ind w:left="0"/>
              <w:rPr>
                <w:b/>
                <w:sz w:val="22"/>
              </w:rPr>
            </w:pPr>
          </w:p>
          <w:p>
            <w:pPr>
              <w:pStyle w:val="TableParagraph"/>
              <w:spacing w:line="253" w:lineRule="exact"/>
              <w:ind w:left="317"/>
              <w:jc w:val="both"/>
              <w:rPr>
                <w:i/>
                <w:sz w:val="22"/>
              </w:rPr>
            </w:pPr>
            <w:r>
              <w:rPr>
                <w:i/>
                <w:sz w:val="22"/>
              </w:rPr>
              <w:t>“At</w:t>
            </w:r>
            <w:r>
              <w:rPr>
                <w:i/>
                <w:spacing w:val="69"/>
                <w:sz w:val="22"/>
              </w:rPr>
              <w:t> </w:t>
            </w:r>
            <w:r>
              <w:rPr>
                <w:i/>
                <w:sz w:val="22"/>
              </w:rPr>
              <w:t>constant</w:t>
            </w:r>
            <w:r>
              <w:rPr>
                <w:i/>
                <w:spacing w:val="72"/>
                <w:sz w:val="22"/>
              </w:rPr>
              <w:t> </w:t>
            </w:r>
            <w:r>
              <w:rPr>
                <w:i/>
                <w:sz w:val="22"/>
              </w:rPr>
              <w:t>prices,</w:t>
            </w:r>
            <w:r>
              <w:rPr>
                <w:i/>
                <w:spacing w:val="69"/>
                <w:sz w:val="22"/>
              </w:rPr>
              <w:t> </w:t>
            </w:r>
            <w:r>
              <w:rPr>
                <w:i/>
                <w:sz w:val="22"/>
              </w:rPr>
              <w:t>the</w:t>
            </w:r>
            <w:r>
              <w:rPr>
                <w:i/>
                <w:spacing w:val="69"/>
                <w:sz w:val="22"/>
              </w:rPr>
              <w:t> </w:t>
            </w:r>
            <w:r>
              <w:rPr>
                <w:i/>
                <w:sz w:val="22"/>
              </w:rPr>
              <w:t>ICT</w:t>
            </w:r>
            <w:r>
              <w:rPr>
                <w:i/>
                <w:spacing w:val="71"/>
                <w:sz w:val="22"/>
              </w:rPr>
              <w:t> </w:t>
            </w:r>
            <w:r>
              <w:rPr>
                <w:i/>
                <w:sz w:val="22"/>
              </w:rPr>
              <w:t>sector</w:t>
            </w:r>
            <w:r>
              <w:rPr>
                <w:i/>
                <w:spacing w:val="69"/>
                <w:sz w:val="22"/>
              </w:rPr>
              <w:t> </w:t>
            </w:r>
            <w:r>
              <w:rPr>
                <w:i/>
                <w:sz w:val="22"/>
              </w:rPr>
              <w:t>contributed</w:t>
            </w:r>
            <w:r>
              <w:rPr>
                <w:i/>
                <w:spacing w:val="72"/>
                <w:sz w:val="22"/>
              </w:rPr>
              <w:t> </w:t>
            </w:r>
            <w:r>
              <w:rPr>
                <w:i/>
                <w:spacing w:val="-5"/>
                <w:sz w:val="22"/>
              </w:rPr>
              <w:t>P1,</w:t>
            </w:r>
          </w:p>
          <w:p>
            <w:pPr>
              <w:pStyle w:val="TableParagraph"/>
              <w:spacing w:line="240" w:lineRule="auto"/>
              <w:ind w:left="317" w:right="93"/>
              <w:jc w:val="both"/>
              <w:rPr>
                <w:i/>
                <w:sz w:val="22"/>
              </w:rPr>
            </w:pPr>
            <w:r>
              <w:rPr>
                <w:i/>
                <w:sz w:val="22"/>
              </w:rPr>
              <w:t>224.1 million of value added which is 2.7 percent of</w:t>
            </w:r>
            <w:r>
              <w:rPr>
                <w:i/>
                <w:spacing w:val="40"/>
                <w:sz w:val="22"/>
              </w:rPr>
              <w:t> </w:t>
            </w:r>
            <w:r>
              <w:rPr>
                <w:i/>
                <w:sz w:val="22"/>
              </w:rPr>
              <w:t>total GDP. The Postal and Courier Services sub-sector produced value added of P45.0 million at constant prices, thus contributing 0.1 percent of total GDP. Mobile cellular telephone subscriptions continue to grow, rising</w:t>
            </w:r>
            <w:r>
              <w:rPr>
                <w:i/>
                <w:spacing w:val="-2"/>
                <w:sz w:val="22"/>
              </w:rPr>
              <w:t> </w:t>
            </w:r>
            <w:r>
              <w:rPr>
                <w:i/>
                <w:sz w:val="22"/>
              </w:rPr>
              <w:t>from 4,160,553 subscriptions in Q4 2021</w:t>
            </w:r>
            <w:r>
              <w:rPr>
                <w:i/>
                <w:spacing w:val="-2"/>
                <w:sz w:val="22"/>
              </w:rPr>
              <w:t> </w:t>
            </w:r>
            <w:r>
              <w:rPr>
                <w:i/>
                <w:sz w:val="22"/>
              </w:rPr>
              <w:t>to 4,243,124 in Q1 2022.”</w:t>
            </w:r>
          </w:p>
        </w:tc>
        <w:tc>
          <w:tcPr>
            <w:tcW w:w="3260" w:type="dxa"/>
          </w:tcPr>
          <w:p>
            <w:pPr>
              <w:pStyle w:val="TableParagraph"/>
              <w:numPr>
                <w:ilvl w:val="0"/>
                <w:numId w:val="7"/>
              </w:numPr>
              <w:tabs>
                <w:tab w:pos="828" w:val="left" w:leader="none"/>
                <w:tab w:pos="829" w:val="left" w:leader="none"/>
              </w:tabs>
              <w:spacing w:line="242" w:lineRule="auto" w:before="0" w:after="0"/>
              <w:ind w:left="1188" w:right="94" w:hanging="721"/>
              <w:jc w:val="left"/>
              <w:rPr>
                <w:sz w:val="22"/>
              </w:rPr>
            </w:pPr>
            <w:r>
              <w:rPr>
                <w:sz w:val="22"/>
              </w:rPr>
              <w:t>Investment</w:t>
            </w:r>
            <w:r>
              <w:rPr>
                <w:spacing w:val="80"/>
                <w:sz w:val="22"/>
              </w:rPr>
              <w:t> </w:t>
            </w:r>
            <w:r>
              <w:rPr>
                <w:sz w:val="22"/>
              </w:rPr>
              <w:t>opportunities in ICT Sector.</w:t>
            </w:r>
          </w:p>
          <w:p>
            <w:pPr>
              <w:pStyle w:val="TableParagraph"/>
              <w:numPr>
                <w:ilvl w:val="0"/>
                <w:numId w:val="7"/>
              </w:numPr>
              <w:tabs>
                <w:tab w:pos="829" w:val="left" w:leader="none"/>
              </w:tabs>
              <w:spacing w:line="240" w:lineRule="auto" w:before="0" w:after="0"/>
              <w:ind w:left="1188" w:right="96" w:hanging="721"/>
              <w:jc w:val="left"/>
              <w:rPr>
                <w:sz w:val="22"/>
              </w:rPr>
            </w:pPr>
            <w:r>
              <w:rPr>
                <w:sz w:val="22"/>
              </w:rPr>
              <w:t>Improved</w:t>
            </w:r>
            <w:r>
              <w:rPr>
                <w:spacing w:val="80"/>
                <w:sz w:val="22"/>
              </w:rPr>
              <w:t> </w:t>
            </w:r>
            <w:r>
              <w:rPr>
                <w:sz w:val="22"/>
              </w:rPr>
              <w:t>facilitation</w:t>
            </w:r>
            <w:r>
              <w:rPr>
                <w:spacing w:val="80"/>
                <w:sz w:val="22"/>
              </w:rPr>
              <w:t> </w:t>
            </w:r>
            <w:r>
              <w:rPr>
                <w:sz w:val="22"/>
              </w:rPr>
              <w:t>of the digital economy.</w:t>
            </w:r>
          </w:p>
        </w:tc>
      </w:tr>
      <w:tr>
        <w:trPr>
          <w:trHeight w:val="5818" w:hRule="atLeast"/>
        </w:trPr>
        <w:tc>
          <w:tcPr>
            <w:tcW w:w="1500" w:type="dxa"/>
          </w:tcPr>
          <w:p>
            <w:pPr>
              <w:pStyle w:val="TableParagraph"/>
              <w:spacing w:line="240" w:lineRule="auto"/>
              <w:ind w:right="162"/>
              <w:rPr>
                <w:sz w:val="22"/>
              </w:rPr>
            </w:pPr>
            <w:r>
              <w:rPr>
                <w:spacing w:val="-2"/>
                <w:sz w:val="22"/>
              </w:rPr>
              <w:t>Statistics Botswana September </w:t>
            </w:r>
            <w:r>
              <w:rPr>
                <w:spacing w:val="-4"/>
                <w:sz w:val="22"/>
              </w:rPr>
              <w:t>2022</w:t>
            </w:r>
          </w:p>
        </w:tc>
        <w:tc>
          <w:tcPr>
            <w:tcW w:w="5449" w:type="dxa"/>
          </w:tcPr>
          <w:p>
            <w:pPr>
              <w:pStyle w:val="TableParagraph"/>
              <w:spacing w:line="247" w:lineRule="exact"/>
              <w:ind w:left="468"/>
              <w:rPr>
                <w:i/>
                <w:sz w:val="22"/>
              </w:rPr>
            </w:pPr>
            <w:r>
              <w:rPr>
                <w:i/>
                <w:sz w:val="22"/>
              </w:rPr>
              <w:t>vii.</w:t>
            </w:r>
            <w:r>
              <w:rPr>
                <w:i/>
                <w:spacing w:val="21"/>
                <w:sz w:val="22"/>
              </w:rPr>
              <w:t> </w:t>
            </w:r>
            <w:r>
              <w:rPr>
                <w:i/>
                <w:sz w:val="22"/>
              </w:rPr>
              <w:t>International</w:t>
            </w:r>
            <w:r>
              <w:rPr>
                <w:i/>
                <w:spacing w:val="-3"/>
                <w:sz w:val="22"/>
              </w:rPr>
              <w:t> </w:t>
            </w:r>
            <w:r>
              <w:rPr>
                <w:i/>
                <w:sz w:val="22"/>
              </w:rPr>
              <w:t>Statistics</w:t>
            </w:r>
            <w:r>
              <w:rPr>
                <w:i/>
                <w:spacing w:val="-4"/>
                <w:sz w:val="22"/>
              </w:rPr>
              <w:t> </w:t>
            </w:r>
            <w:r>
              <w:rPr>
                <w:i/>
                <w:sz w:val="22"/>
              </w:rPr>
              <w:t>Brief</w:t>
            </w:r>
            <w:r>
              <w:rPr>
                <w:i/>
                <w:spacing w:val="-4"/>
                <w:sz w:val="22"/>
              </w:rPr>
              <w:t> </w:t>
            </w:r>
            <w:r>
              <w:rPr>
                <w:i/>
                <w:sz w:val="22"/>
              </w:rPr>
              <w:t>Quarter</w:t>
            </w:r>
            <w:r>
              <w:rPr>
                <w:i/>
                <w:spacing w:val="-4"/>
                <w:sz w:val="22"/>
              </w:rPr>
              <w:t> </w:t>
            </w:r>
            <w:r>
              <w:rPr>
                <w:i/>
                <w:sz w:val="22"/>
              </w:rPr>
              <w:t>1,</w:t>
            </w:r>
            <w:r>
              <w:rPr>
                <w:i/>
                <w:spacing w:val="-3"/>
                <w:sz w:val="22"/>
              </w:rPr>
              <w:t> </w:t>
            </w:r>
            <w:r>
              <w:rPr>
                <w:i/>
                <w:spacing w:val="-4"/>
                <w:sz w:val="22"/>
              </w:rPr>
              <w:t>2022</w:t>
            </w:r>
          </w:p>
          <w:p>
            <w:pPr>
              <w:pStyle w:val="TableParagraph"/>
              <w:spacing w:line="240" w:lineRule="auto"/>
              <w:ind w:left="0"/>
              <w:rPr>
                <w:b/>
                <w:sz w:val="22"/>
              </w:rPr>
            </w:pPr>
          </w:p>
          <w:p>
            <w:pPr>
              <w:pStyle w:val="TableParagraph"/>
              <w:spacing w:line="240" w:lineRule="auto"/>
              <w:ind w:left="317" w:right="95"/>
              <w:jc w:val="both"/>
              <w:rPr>
                <w:i/>
                <w:sz w:val="22"/>
              </w:rPr>
            </w:pPr>
            <w:r>
              <w:rPr>
                <w:i/>
                <w:sz w:val="22"/>
              </w:rPr>
              <w:t>Statistics Botswana produced for the first time the</w:t>
            </w:r>
            <w:r>
              <w:rPr>
                <w:i/>
                <w:sz w:val="22"/>
              </w:rPr>
              <w:t> quarterly stats brief for Tourism Statistics. The Q1 Stats Brief and subsequent ones will provide a summary of international visitors and non-visitors entering the country on quarterly intervals while the annual report will continue to be published at the end of each year, giving detailed information on arrivals and departures as well as tourists arrivals for the entire year.</w:t>
            </w:r>
          </w:p>
          <w:p>
            <w:pPr>
              <w:pStyle w:val="TableParagraph"/>
              <w:spacing w:line="240" w:lineRule="auto" w:before="10"/>
              <w:ind w:left="0"/>
              <w:rPr>
                <w:b/>
                <w:sz w:val="21"/>
              </w:rPr>
            </w:pPr>
          </w:p>
          <w:p>
            <w:pPr>
              <w:pStyle w:val="TableParagraph"/>
              <w:spacing w:line="240" w:lineRule="auto"/>
              <w:ind w:left="108" w:right="93"/>
              <w:jc w:val="both"/>
              <w:rPr>
                <w:i/>
                <w:sz w:val="22"/>
              </w:rPr>
            </w:pPr>
            <w:r>
              <w:rPr>
                <w:i/>
                <w:sz w:val="22"/>
              </w:rPr>
              <w:t>The country received a total of 158,284 international</w:t>
            </w:r>
            <w:r>
              <w:rPr>
                <w:i/>
                <w:sz w:val="22"/>
              </w:rPr>
              <w:t> visitors during the first quarter of 2022 representing 90.1 percent of total inbound arrivals. The majority of tourists were from the SADC region, with South Africa</w:t>
            </w:r>
            <w:r>
              <w:rPr>
                <w:i/>
                <w:spacing w:val="40"/>
                <w:sz w:val="22"/>
              </w:rPr>
              <w:t> </w:t>
            </w:r>
            <w:r>
              <w:rPr>
                <w:i/>
                <w:sz w:val="22"/>
              </w:rPr>
              <w:t>representing 35.8% percent of overall tourist arrivals. In Transit visitors represented the highest proportion of tourists at 47.9%, followed by Business tourists at 20.4% while Holiday tourists accounted for 16.8% percent of all the tourist arrivals. The</w:t>
            </w:r>
            <w:r>
              <w:rPr>
                <w:i/>
                <w:spacing w:val="-1"/>
                <w:sz w:val="22"/>
              </w:rPr>
              <w:t> </w:t>
            </w:r>
            <w:r>
              <w:rPr>
                <w:i/>
                <w:sz w:val="22"/>
              </w:rPr>
              <w:t>relaxation of COVID-19 protocols has</w:t>
            </w:r>
            <w:r>
              <w:rPr>
                <w:i/>
                <w:spacing w:val="-3"/>
                <w:sz w:val="22"/>
              </w:rPr>
              <w:t> </w:t>
            </w:r>
            <w:r>
              <w:rPr>
                <w:i/>
                <w:sz w:val="22"/>
              </w:rPr>
              <w:t>hence</w:t>
            </w:r>
            <w:r>
              <w:rPr>
                <w:i/>
                <w:spacing w:val="-3"/>
                <w:sz w:val="22"/>
              </w:rPr>
              <w:t> </w:t>
            </w:r>
            <w:r>
              <w:rPr>
                <w:i/>
                <w:sz w:val="22"/>
              </w:rPr>
              <w:t>had</w:t>
            </w:r>
            <w:r>
              <w:rPr>
                <w:i/>
                <w:spacing w:val="-3"/>
                <w:sz w:val="22"/>
              </w:rPr>
              <w:t> </w:t>
            </w:r>
            <w:r>
              <w:rPr>
                <w:i/>
                <w:sz w:val="22"/>
              </w:rPr>
              <w:t>a</w:t>
            </w:r>
            <w:r>
              <w:rPr>
                <w:i/>
                <w:spacing w:val="-3"/>
                <w:sz w:val="22"/>
              </w:rPr>
              <w:t> </w:t>
            </w:r>
            <w:r>
              <w:rPr>
                <w:i/>
                <w:sz w:val="22"/>
              </w:rPr>
              <w:t>positive</w:t>
            </w:r>
            <w:r>
              <w:rPr>
                <w:i/>
                <w:spacing w:val="-5"/>
                <w:sz w:val="22"/>
              </w:rPr>
              <w:t> </w:t>
            </w:r>
            <w:r>
              <w:rPr>
                <w:i/>
                <w:sz w:val="22"/>
              </w:rPr>
              <w:t>impact</w:t>
            </w:r>
            <w:r>
              <w:rPr>
                <w:i/>
                <w:spacing w:val="-2"/>
                <w:sz w:val="22"/>
              </w:rPr>
              <w:t> </w:t>
            </w:r>
            <w:r>
              <w:rPr>
                <w:i/>
                <w:sz w:val="22"/>
              </w:rPr>
              <w:t>on</w:t>
            </w:r>
            <w:r>
              <w:rPr>
                <w:i/>
                <w:spacing w:val="-6"/>
                <w:sz w:val="22"/>
              </w:rPr>
              <w:t> </w:t>
            </w:r>
            <w:r>
              <w:rPr>
                <w:i/>
                <w:sz w:val="22"/>
              </w:rPr>
              <w:t>the</w:t>
            </w:r>
            <w:r>
              <w:rPr>
                <w:i/>
                <w:spacing w:val="-3"/>
                <w:sz w:val="22"/>
              </w:rPr>
              <w:t> </w:t>
            </w:r>
            <w:r>
              <w:rPr>
                <w:i/>
                <w:sz w:val="22"/>
              </w:rPr>
              <w:t>sector,</w:t>
            </w:r>
            <w:r>
              <w:rPr>
                <w:i/>
                <w:spacing w:val="-3"/>
                <w:sz w:val="22"/>
              </w:rPr>
              <w:t> </w:t>
            </w:r>
            <w:r>
              <w:rPr>
                <w:i/>
                <w:sz w:val="22"/>
              </w:rPr>
              <w:t>envisaged</w:t>
            </w:r>
            <w:r>
              <w:rPr>
                <w:i/>
                <w:spacing w:val="-3"/>
                <w:sz w:val="22"/>
              </w:rPr>
              <w:t> </w:t>
            </w:r>
            <w:r>
              <w:rPr>
                <w:i/>
                <w:sz w:val="22"/>
              </w:rPr>
              <w:t>to continue</w:t>
            </w:r>
            <w:r>
              <w:rPr>
                <w:i/>
                <w:spacing w:val="4"/>
                <w:sz w:val="22"/>
              </w:rPr>
              <w:t> </w:t>
            </w:r>
            <w:r>
              <w:rPr>
                <w:i/>
                <w:sz w:val="22"/>
              </w:rPr>
              <w:t>its</w:t>
            </w:r>
            <w:r>
              <w:rPr>
                <w:i/>
                <w:spacing w:val="5"/>
                <w:sz w:val="22"/>
              </w:rPr>
              <w:t> </w:t>
            </w:r>
            <w:r>
              <w:rPr>
                <w:i/>
                <w:sz w:val="22"/>
              </w:rPr>
              <w:t>strong</w:t>
            </w:r>
            <w:r>
              <w:rPr>
                <w:i/>
                <w:spacing w:val="5"/>
                <w:sz w:val="22"/>
              </w:rPr>
              <w:t> </w:t>
            </w:r>
            <w:r>
              <w:rPr>
                <w:i/>
                <w:sz w:val="22"/>
              </w:rPr>
              <w:t>performance</w:t>
            </w:r>
            <w:r>
              <w:rPr>
                <w:i/>
                <w:spacing w:val="5"/>
                <w:sz w:val="22"/>
              </w:rPr>
              <w:t> </w:t>
            </w:r>
            <w:r>
              <w:rPr>
                <w:i/>
                <w:sz w:val="22"/>
              </w:rPr>
              <w:t>in</w:t>
            </w:r>
            <w:r>
              <w:rPr>
                <w:i/>
                <w:spacing w:val="5"/>
                <w:sz w:val="22"/>
              </w:rPr>
              <w:t> </w:t>
            </w:r>
            <w:r>
              <w:rPr>
                <w:i/>
                <w:sz w:val="22"/>
              </w:rPr>
              <w:t>the</w:t>
            </w:r>
            <w:r>
              <w:rPr>
                <w:i/>
                <w:spacing w:val="5"/>
                <w:sz w:val="22"/>
              </w:rPr>
              <w:t> </w:t>
            </w:r>
            <w:r>
              <w:rPr>
                <w:i/>
                <w:sz w:val="22"/>
              </w:rPr>
              <w:t>medium</w:t>
            </w:r>
            <w:r>
              <w:rPr>
                <w:i/>
                <w:spacing w:val="6"/>
                <w:sz w:val="22"/>
              </w:rPr>
              <w:t> </w:t>
            </w:r>
            <w:r>
              <w:rPr>
                <w:i/>
                <w:sz w:val="22"/>
              </w:rPr>
              <w:t>to</w:t>
            </w:r>
            <w:r>
              <w:rPr>
                <w:i/>
                <w:spacing w:val="5"/>
                <w:sz w:val="22"/>
              </w:rPr>
              <w:t> </w:t>
            </w:r>
            <w:r>
              <w:rPr>
                <w:i/>
                <w:sz w:val="22"/>
              </w:rPr>
              <w:t>long</w:t>
            </w:r>
            <w:r>
              <w:rPr>
                <w:i/>
                <w:spacing w:val="6"/>
                <w:sz w:val="22"/>
              </w:rPr>
              <w:t> </w:t>
            </w:r>
            <w:r>
              <w:rPr>
                <w:i/>
                <w:spacing w:val="-5"/>
                <w:sz w:val="22"/>
              </w:rPr>
              <w:t>run</w:t>
            </w:r>
          </w:p>
          <w:p>
            <w:pPr>
              <w:pStyle w:val="TableParagraph"/>
              <w:spacing w:line="238" w:lineRule="exact" w:before="2"/>
              <w:ind w:left="108"/>
              <w:rPr>
                <w:i/>
                <w:sz w:val="22"/>
              </w:rPr>
            </w:pPr>
            <w:r>
              <w:rPr>
                <w:i/>
                <w:spacing w:val="-2"/>
                <w:sz w:val="22"/>
              </w:rPr>
              <w:t>term.</w:t>
            </w:r>
          </w:p>
        </w:tc>
        <w:tc>
          <w:tcPr>
            <w:tcW w:w="3260" w:type="dxa"/>
          </w:tcPr>
          <w:p>
            <w:pPr>
              <w:pStyle w:val="TableParagraph"/>
              <w:spacing w:line="240" w:lineRule="auto" w:before="4"/>
              <w:ind w:left="0"/>
              <w:rPr>
                <w:b/>
                <w:sz w:val="21"/>
              </w:rPr>
            </w:pPr>
          </w:p>
          <w:p>
            <w:pPr>
              <w:pStyle w:val="TableParagraph"/>
              <w:tabs>
                <w:tab w:pos="828" w:val="left" w:leader="none"/>
                <w:tab w:pos="1593" w:val="left" w:leader="none"/>
                <w:tab w:pos="2933" w:val="left" w:leader="none"/>
              </w:tabs>
              <w:spacing w:line="240" w:lineRule="auto"/>
              <w:ind w:left="828" w:right="93" w:hanging="476"/>
              <w:rPr>
                <w:sz w:val="22"/>
              </w:rPr>
            </w:pPr>
            <w:r>
              <w:rPr>
                <w:spacing w:val="-6"/>
                <w:sz w:val="22"/>
              </w:rPr>
              <w:t>i.</w:t>
            </w:r>
            <w:r>
              <w:rPr>
                <w:sz w:val="22"/>
              </w:rPr>
              <w:tab/>
            </w:r>
            <w:r>
              <w:rPr>
                <w:spacing w:val="-4"/>
                <w:sz w:val="22"/>
              </w:rPr>
              <w:t>Data</w:t>
            </w:r>
            <w:r>
              <w:rPr>
                <w:sz w:val="22"/>
              </w:rPr>
              <w:tab/>
            </w:r>
            <w:r>
              <w:rPr>
                <w:spacing w:val="-2"/>
                <w:sz w:val="22"/>
              </w:rPr>
              <w:t>availability</w:t>
            </w:r>
            <w:r>
              <w:rPr>
                <w:sz w:val="22"/>
              </w:rPr>
              <w:tab/>
            </w:r>
            <w:r>
              <w:rPr>
                <w:spacing w:val="-6"/>
                <w:sz w:val="22"/>
              </w:rPr>
              <w:t>on</w:t>
            </w:r>
            <w:r>
              <w:rPr>
                <w:spacing w:val="-6"/>
                <w:sz w:val="22"/>
              </w:rPr>
              <w:t> </w:t>
            </w:r>
            <w:r>
              <w:rPr>
                <w:sz w:val="22"/>
              </w:rPr>
              <w:t>tourism sector.</w:t>
            </w:r>
          </w:p>
        </w:tc>
      </w:tr>
    </w:tbl>
    <w:p>
      <w:pPr>
        <w:rPr>
          <w:sz w:val="2"/>
          <w:szCs w:val="2"/>
        </w:rPr>
      </w:pPr>
      <w:r>
        <w:rPr/>
        <w:pict>
          <v:shape style="position:absolute;margin-left:24.000002pt;margin-top:23.999945pt;width:547.450pt;height:794.05pt;mso-position-horizontal-relative:page;mso-position-vertical-relative:page;z-index:-16199680" id="docshape15"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w:r>
    </w:p>
    <w:sectPr>
      <w:type w:val="continuous"/>
      <w:pgSz w:w="11910" w:h="16840"/>
      <w:pgMar w:header="0" w:footer="1003" w:top="1400" w:bottom="1200" w:left="780" w:right="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91.890015pt;margin-top:780.776001pt;width:12.6pt;height:13.05pt;mso-position-horizontal-relative:page;mso-position-vertical-relative:page;z-index:-16206848" type="#_x0000_t202" id="docshape1" filled="false" stroked="false">
          <v:textbox inset="0,0,0,0">
            <w:txbxContent>
              <w:p>
                <w:pPr>
                  <w:pStyle w:val="BodyText"/>
                  <w:spacing w:line="245" w:lineRule="exact"/>
                  <w:ind w:left="60"/>
                  <w:rPr>
                    <w:rFonts w:ascii="Calibri"/>
                  </w:rPr>
                </w:pPr>
                <w:r>
                  <w:rPr>
                    <w:rFonts w:ascii="Calibri"/>
                    <w:w w:val="100"/>
                  </w:rPr>
                  <w:fldChar w:fldCharType="begin"/>
                </w:r>
                <w:r>
                  <w:rPr>
                    <w:rFonts w:ascii="Calibri"/>
                    <w:w w:val="100"/>
                  </w:rPr>
                  <w:instrText> PAGE </w:instrText>
                </w:r>
                <w:r>
                  <w:rPr>
                    <w:rFonts w:ascii="Calibri"/>
                    <w:w w:val="100"/>
                  </w:rPr>
                  <w:fldChar w:fldCharType="separate"/>
                </w:r>
                <w:r>
                  <w:rPr>
                    <w:rFonts w:ascii="Calibri"/>
                    <w:w w:val="100"/>
                  </w:rPr>
                  <w:t>1</w:t>
                </w:r>
                <w:r>
                  <w:rPr>
                    <w:rFonts w:ascii="Calibri"/>
                    <w:w w:val="100"/>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lowerRoman"/>
      <w:lvlText w:val="%1."/>
      <w:lvlJc w:val="left"/>
      <w:pPr>
        <w:ind w:left="118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87" w:hanging="360"/>
      </w:pPr>
      <w:rPr>
        <w:rFonts w:hint="default"/>
        <w:lang w:val="en-US" w:eastAsia="en-US" w:bidi="ar-SA"/>
      </w:rPr>
    </w:lvl>
    <w:lvl w:ilvl="2">
      <w:start w:val="0"/>
      <w:numFmt w:val="bullet"/>
      <w:lvlText w:val="•"/>
      <w:lvlJc w:val="left"/>
      <w:pPr>
        <w:ind w:left="1594" w:hanging="360"/>
      </w:pPr>
      <w:rPr>
        <w:rFonts w:hint="default"/>
        <w:lang w:val="en-US" w:eastAsia="en-US" w:bidi="ar-SA"/>
      </w:rPr>
    </w:lvl>
    <w:lvl w:ilvl="3">
      <w:start w:val="0"/>
      <w:numFmt w:val="bullet"/>
      <w:lvlText w:val="•"/>
      <w:lvlJc w:val="left"/>
      <w:pPr>
        <w:ind w:left="1801" w:hanging="360"/>
      </w:pPr>
      <w:rPr>
        <w:rFonts w:hint="default"/>
        <w:lang w:val="en-US" w:eastAsia="en-US" w:bidi="ar-SA"/>
      </w:rPr>
    </w:lvl>
    <w:lvl w:ilvl="4">
      <w:start w:val="0"/>
      <w:numFmt w:val="bullet"/>
      <w:lvlText w:val="•"/>
      <w:lvlJc w:val="left"/>
      <w:pPr>
        <w:ind w:left="2008" w:hanging="360"/>
      </w:pPr>
      <w:rPr>
        <w:rFonts w:hint="default"/>
        <w:lang w:val="en-US" w:eastAsia="en-US" w:bidi="ar-SA"/>
      </w:rPr>
    </w:lvl>
    <w:lvl w:ilvl="5">
      <w:start w:val="0"/>
      <w:numFmt w:val="bullet"/>
      <w:lvlText w:val="•"/>
      <w:lvlJc w:val="left"/>
      <w:pPr>
        <w:ind w:left="2215" w:hanging="360"/>
      </w:pPr>
      <w:rPr>
        <w:rFonts w:hint="default"/>
        <w:lang w:val="en-US" w:eastAsia="en-US" w:bidi="ar-SA"/>
      </w:rPr>
    </w:lvl>
    <w:lvl w:ilvl="6">
      <w:start w:val="0"/>
      <w:numFmt w:val="bullet"/>
      <w:lvlText w:val="•"/>
      <w:lvlJc w:val="left"/>
      <w:pPr>
        <w:ind w:left="2422" w:hanging="360"/>
      </w:pPr>
      <w:rPr>
        <w:rFonts w:hint="default"/>
        <w:lang w:val="en-US" w:eastAsia="en-US" w:bidi="ar-SA"/>
      </w:rPr>
    </w:lvl>
    <w:lvl w:ilvl="7">
      <w:start w:val="0"/>
      <w:numFmt w:val="bullet"/>
      <w:lvlText w:val="•"/>
      <w:lvlJc w:val="left"/>
      <w:pPr>
        <w:ind w:left="2629" w:hanging="360"/>
      </w:pPr>
      <w:rPr>
        <w:rFonts w:hint="default"/>
        <w:lang w:val="en-US" w:eastAsia="en-US" w:bidi="ar-SA"/>
      </w:rPr>
    </w:lvl>
    <w:lvl w:ilvl="8">
      <w:start w:val="0"/>
      <w:numFmt w:val="bullet"/>
      <w:lvlText w:val="•"/>
      <w:lvlJc w:val="left"/>
      <w:pPr>
        <w:ind w:left="2836" w:hanging="360"/>
      </w:pPr>
      <w:rPr>
        <w:rFonts w:hint="default"/>
        <w:lang w:val="en-US" w:eastAsia="en-US" w:bidi="ar-SA"/>
      </w:rPr>
    </w:lvl>
  </w:abstractNum>
  <w:abstractNum w:abstractNumId="5">
    <w:multiLevelType w:val="hybridMultilevel"/>
    <w:lvl w:ilvl="0">
      <w:start w:val="1"/>
      <w:numFmt w:val="lowerRoman"/>
      <w:lvlText w:val="%1."/>
      <w:lvlJc w:val="left"/>
      <w:pPr>
        <w:ind w:left="821"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63" w:hanging="425"/>
      </w:pPr>
      <w:rPr>
        <w:rFonts w:hint="default"/>
        <w:lang w:val="en-US" w:eastAsia="en-US" w:bidi="ar-SA"/>
      </w:rPr>
    </w:lvl>
    <w:lvl w:ilvl="2">
      <w:start w:val="0"/>
      <w:numFmt w:val="bullet"/>
      <w:lvlText w:val="•"/>
      <w:lvlJc w:val="left"/>
      <w:pPr>
        <w:ind w:left="1306" w:hanging="425"/>
      </w:pPr>
      <w:rPr>
        <w:rFonts w:hint="default"/>
        <w:lang w:val="en-US" w:eastAsia="en-US" w:bidi="ar-SA"/>
      </w:rPr>
    </w:lvl>
    <w:lvl w:ilvl="3">
      <w:start w:val="0"/>
      <w:numFmt w:val="bullet"/>
      <w:lvlText w:val="•"/>
      <w:lvlJc w:val="left"/>
      <w:pPr>
        <w:ind w:left="1549" w:hanging="425"/>
      </w:pPr>
      <w:rPr>
        <w:rFonts w:hint="default"/>
        <w:lang w:val="en-US" w:eastAsia="en-US" w:bidi="ar-SA"/>
      </w:rPr>
    </w:lvl>
    <w:lvl w:ilvl="4">
      <w:start w:val="0"/>
      <w:numFmt w:val="bullet"/>
      <w:lvlText w:val="•"/>
      <w:lvlJc w:val="left"/>
      <w:pPr>
        <w:ind w:left="1792" w:hanging="425"/>
      </w:pPr>
      <w:rPr>
        <w:rFonts w:hint="default"/>
        <w:lang w:val="en-US" w:eastAsia="en-US" w:bidi="ar-SA"/>
      </w:rPr>
    </w:lvl>
    <w:lvl w:ilvl="5">
      <w:start w:val="0"/>
      <w:numFmt w:val="bullet"/>
      <w:lvlText w:val="•"/>
      <w:lvlJc w:val="left"/>
      <w:pPr>
        <w:ind w:left="2035" w:hanging="425"/>
      </w:pPr>
      <w:rPr>
        <w:rFonts w:hint="default"/>
        <w:lang w:val="en-US" w:eastAsia="en-US" w:bidi="ar-SA"/>
      </w:rPr>
    </w:lvl>
    <w:lvl w:ilvl="6">
      <w:start w:val="0"/>
      <w:numFmt w:val="bullet"/>
      <w:lvlText w:val="•"/>
      <w:lvlJc w:val="left"/>
      <w:pPr>
        <w:ind w:left="2278" w:hanging="425"/>
      </w:pPr>
      <w:rPr>
        <w:rFonts w:hint="default"/>
        <w:lang w:val="en-US" w:eastAsia="en-US" w:bidi="ar-SA"/>
      </w:rPr>
    </w:lvl>
    <w:lvl w:ilvl="7">
      <w:start w:val="0"/>
      <w:numFmt w:val="bullet"/>
      <w:lvlText w:val="•"/>
      <w:lvlJc w:val="left"/>
      <w:pPr>
        <w:ind w:left="2521" w:hanging="425"/>
      </w:pPr>
      <w:rPr>
        <w:rFonts w:hint="default"/>
        <w:lang w:val="en-US" w:eastAsia="en-US" w:bidi="ar-SA"/>
      </w:rPr>
    </w:lvl>
    <w:lvl w:ilvl="8">
      <w:start w:val="0"/>
      <w:numFmt w:val="bullet"/>
      <w:lvlText w:val="•"/>
      <w:lvlJc w:val="left"/>
      <w:pPr>
        <w:ind w:left="2764" w:hanging="425"/>
      </w:pPr>
      <w:rPr>
        <w:rFonts w:hint="default"/>
        <w:lang w:val="en-US" w:eastAsia="en-US" w:bidi="ar-SA"/>
      </w:rPr>
    </w:lvl>
  </w:abstractNum>
  <w:abstractNum w:abstractNumId="4">
    <w:multiLevelType w:val="hybridMultilevel"/>
    <w:lvl w:ilvl="0">
      <w:start w:val="1"/>
      <w:numFmt w:val="lowerRoman"/>
      <w:lvlText w:val="%1."/>
      <w:lvlJc w:val="left"/>
      <w:pPr>
        <w:ind w:left="907" w:hanging="425"/>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35" w:hanging="425"/>
      </w:pPr>
      <w:rPr>
        <w:rFonts w:hint="default"/>
        <w:lang w:val="en-US" w:eastAsia="en-US" w:bidi="ar-SA"/>
      </w:rPr>
    </w:lvl>
    <w:lvl w:ilvl="2">
      <w:start w:val="0"/>
      <w:numFmt w:val="bullet"/>
      <w:lvlText w:val="•"/>
      <w:lvlJc w:val="left"/>
      <w:pPr>
        <w:ind w:left="1370" w:hanging="425"/>
      </w:pPr>
      <w:rPr>
        <w:rFonts w:hint="default"/>
        <w:lang w:val="en-US" w:eastAsia="en-US" w:bidi="ar-SA"/>
      </w:rPr>
    </w:lvl>
    <w:lvl w:ilvl="3">
      <w:start w:val="0"/>
      <w:numFmt w:val="bullet"/>
      <w:lvlText w:val="•"/>
      <w:lvlJc w:val="left"/>
      <w:pPr>
        <w:ind w:left="1605" w:hanging="425"/>
      </w:pPr>
      <w:rPr>
        <w:rFonts w:hint="default"/>
        <w:lang w:val="en-US" w:eastAsia="en-US" w:bidi="ar-SA"/>
      </w:rPr>
    </w:lvl>
    <w:lvl w:ilvl="4">
      <w:start w:val="0"/>
      <w:numFmt w:val="bullet"/>
      <w:lvlText w:val="•"/>
      <w:lvlJc w:val="left"/>
      <w:pPr>
        <w:ind w:left="1840" w:hanging="425"/>
      </w:pPr>
      <w:rPr>
        <w:rFonts w:hint="default"/>
        <w:lang w:val="en-US" w:eastAsia="en-US" w:bidi="ar-SA"/>
      </w:rPr>
    </w:lvl>
    <w:lvl w:ilvl="5">
      <w:start w:val="0"/>
      <w:numFmt w:val="bullet"/>
      <w:lvlText w:val="•"/>
      <w:lvlJc w:val="left"/>
      <w:pPr>
        <w:ind w:left="2075" w:hanging="425"/>
      </w:pPr>
      <w:rPr>
        <w:rFonts w:hint="default"/>
        <w:lang w:val="en-US" w:eastAsia="en-US" w:bidi="ar-SA"/>
      </w:rPr>
    </w:lvl>
    <w:lvl w:ilvl="6">
      <w:start w:val="0"/>
      <w:numFmt w:val="bullet"/>
      <w:lvlText w:val="•"/>
      <w:lvlJc w:val="left"/>
      <w:pPr>
        <w:ind w:left="2310" w:hanging="425"/>
      </w:pPr>
      <w:rPr>
        <w:rFonts w:hint="default"/>
        <w:lang w:val="en-US" w:eastAsia="en-US" w:bidi="ar-SA"/>
      </w:rPr>
    </w:lvl>
    <w:lvl w:ilvl="7">
      <w:start w:val="0"/>
      <w:numFmt w:val="bullet"/>
      <w:lvlText w:val="•"/>
      <w:lvlJc w:val="left"/>
      <w:pPr>
        <w:ind w:left="2545" w:hanging="425"/>
      </w:pPr>
      <w:rPr>
        <w:rFonts w:hint="default"/>
        <w:lang w:val="en-US" w:eastAsia="en-US" w:bidi="ar-SA"/>
      </w:rPr>
    </w:lvl>
    <w:lvl w:ilvl="8">
      <w:start w:val="0"/>
      <w:numFmt w:val="bullet"/>
      <w:lvlText w:val="•"/>
      <w:lvlJc w:val="left"/>
      <w:pPr>
        <w:ind w:left="2780" w:hanging="425"/>
      </w:pPr>
      <w:rPr>
        <w:rFonts w:hint="default"/>
        <w:lang w:val="en-US" w:eastAsia="en-US" w:bidi="ar-SA"/>
      </w:rPr>
    </w:lvl>
  </w:abstractNum>
  <w:abstractNum w:abstractNumId="3">
    <w:multiLevelType w:val="hybridMultilevel"/>
    <w:lvl w:ilvl="0">
      <w:start w:val="1"/>
      <w:numFmt w:val="lowerRoman"/>
      <w:lvlText w:val="%1."/>
      <w:lvlJc w:val="left"/>
      <w:pPr>
        <w:ind w:left="825"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053" w:hanging="360"/>
      </w:pPr>
      <w:rPr>
        <w:rFonts w:hint="default"/>
        <w:lang w:val="en-US" w:eastAsia="en-US" w:bidi="ar-SA"/>
      </w:rPr>
    </w:lvl>
    <w:lvl w:ilvl="2">
      <w:start w:val="0"/>
      <w:numFmt w:val="bullet"/>
      <w:lvlText w:val="•"/>
      <w:lvlJc w:val="left"/>
      <w:pPr>
        <w:ind w:left="1287" w:hanging="360"/>
      </w:pPr>
      <w:rPr>
        <w:rFonts w:hint="default"/>
        <w:lang w:val="en-US" w:eastAsia="en-US" w:bidi="ar-SA"/>
      </w:rPr>
    </w:lvl>
    <w:lvl w:ilvl="3">
      <w:start w:val="0"/>
      <w:numFmt w:val="bullet"/>
      <w:lvlText w:val="•"/>
      <w:lvlJc w:val="left"/>
      <w:pPr>
        <w:ind w:left="1521" w:hanging="360"/>
      </w:pPr>
      <w:rPr>
        <w:rFonts w:hint="default"/>
        <w:lang w:val="en-US" w:eastAsia="en-US" w:bidi="ar-SA"/>
      </w:rPr>
    </w:lvl>
    <w:lvl w:ilvl="4">
      <w:start w:val="0"/>
      <w:numFmt w:val="bullet"/>
      <w:lvlText w:val="•"/>
      <w:lvlJc w:val="left"/>
      <w:pPr>
        <w:ind w:left="1755" w:hanging="360"/>
      </w:pPr>
      <w:rPr>
        <w:rFonts w:hint="default"/>
        <w:lang w:val="en-US" w:eastAsia="en-US" w:bidi="ar-SA"/>
      </w:rPr>
    </w:lvl>
    <w:lvl w:ilvl="5">
      <w:start w:val="0"/>
      <w:numFmt w:val="bullet"/>
      <w:lvlText w:val="•"/>
      <w:lvlJc w:val="left"/>
      <w:pPr>
        <w:ind w:left="1989" w:hanging="360"/>
      </w:pPr>
      <w:rPr>
        <w:rFonts w:hint="default"/>
        <w:lang w:val="en-US" w:eastAsia="en-US" w:bidi="ar-SA"/>
      </w:rPr>
    </w:lvl>
    <w:lvl w:ilvl="6">
      <w:start w:val="0"/>
      <w:numFmt w:val="bullet"/>
      <w:lvlText w:val="•"/>
      <w:lvlJc w:val="left"/>
      <w:pPr>
        <w:ind w:left="2222" w:hanging="360"/>
      </w:pPr>
      <w:rPr>
        <w:rFonts w:hint="default"/>
        <w:lang w:val="en-US" w:eastAsia="en-US" w:bidi="ar-SA"/>
      </w:rPr>
    </w:lvl>
    <w:lvl w:ilvl="7">
      <w:start w:val="0"/>
      <w:numFmt w:val="bullet"/>
      <w:lvlText w:val="•"/>
      <w:lvlJc w:val="left"/>
      <w:pPr>
        <w:ind w:left="2456" w:hanging="360"/>
      </w:pPr>
      <w:rPr>
        <w:rFonts w:hint="default"/>
        <w:lang w:val="en-US" w:eastAsia="en-US" w:bidi="ar-SA"/>
      </w:rPr>
    </w:lvl>
    <w:lvl w:ilvl="8">
      <w:start w:val="0"/>
      <w:numFmt w:val="bullet"/>
      <w:lvlText w:val="•"/>
      <w:lvlJc w:val="left"/>
      <w:pPr>
        <w:ind w:left="2690" w:hanging="360"/>
      </w:pPr>
      <w:rPr>
        <w:rFonts w:hint="default"/>
        <w:lang w:val="en-US" w:eastAsia="en-US" w:bidi="ar-SA"/>
      </w:rPr>
    </w:lvl>
  </w:abstractNum>
  <w:abstractNum w:abstractNumId="2">
    <w:multiLevelType w:val="hybridMultilevel"/>
    <w:lvl w:ilvl="0">
      <w:start w:val="1"/>
      <w:numFmt w:val="lowerRoman"/>
      <w:lvlText w:val="%1."/>
      <w:lvlJc w:val="left"/>
      <w:pPr>
        <w:ind w:left="875" w:hanging="63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107" w:hanging="634"/>
      </w:pPr>
      <w:rPr>
        <w:rFonts w:hint="default"/>
        <w:lang w:val="en-US" w:eastAsia="en-US" w:bidi="ar-SA"/>
      </w:rPr>
    </w:lvl>
    <w:lvl w:ilvl="2">
      <w:start w:val="0"/>
      <w:numFmt w:val="bullet"/>
      <w:lvlText w:val="•"/>
      <w:lvlJc w:val="left"/>
      <w:pPr>
        <w:ind w:left="1335" w:hanging="634"/>
      </w:pPr>
      <w:rPr>
        <w:rFonts w:hint="default"/>
        <w:lang w:val="en-US" w:eastAsia="en-US" w:bidi="ar-SA"/>
      </w:rPr>
    </w:lvl>
    <w:lvl w:ilvl="3">
      <w:start w:val="0"/>
      <w:numFmt w:val="bullet"/>
      <w:lvlText w:val="•"/>
      <w:lvlJc w:val="left"/>
      <w:pPr>
        <w:ind w:left="1563" w:hanging="634"/>
      </w:pPr>
      <w:rPr>
        <w:rFonts w:hint="default"/>
        <w:lang w:val="en-US" w:eastAsia="en-US" w:bidi="ar-SA"/>
      </w:rPr>
    </w:lvl>
    <w:lvl w:ilvl="4">
      <w:start w:val="0"/>
      <w:numFmt w:val="bullet"/>
      <w:lvlText w:val="•"/>
      <w:lvlJc w:val="left"/>
      <w:pPr>
        <w:ind w:left="1791" w:hanging="634"/>
      </w:pPr>
      <w:rPr>
        <w:rFonts w:hint="default"/>
        <w:lang w:val="en-US" w:eastAsia="en-US" w:bidi="ar-SA"/>
      </w:rPr>
    </w:lvl>
    <w:lvl w:ilvl="5">
      <w:start w:val="0"/>
      <w:numFmt w:val="bullet"/>
      <w:lvlText w:val="•"/>
      <w:lvlJc w:val="left"/>
      <w:pPr>
        <w:ind w:left="2019" w:hanging="634"/>
      </w:pPr>
      <w:rPr>
        <w:rFonts w:hint="default"/>
        <w:lang w:val="en-US" w:eastAsia="en-US" w:bidi="ar-SA"/>
      </w:rPr>
    </w:lvl>
    <w:lvl w:ilvl="6">
      <w:start w:val="0"/>
      <w:numFmt w:val="bullet"/>
      <w:lvlText w:val="•"/>
      <w:lvlJc w:val="left"/>
      <w:pPr>
        <w:ind w:left="2246" w:hanging="634"/>
      </w:pPr>
      <w:rPr>
        <w:rFonts w:hint="default"/>
        <w:lang w:val="en-US" w:eastAsia="en-US" w:bidi="ar-SA"/>
      </w:rPr>
    </w:lvl>
    <w:lvl w:ilvl="7">
      <w:start w:val="0"/>
      <w:numFmt w:val="bullet"/>
      <w:lvlText w:val="•"/>
      <w:lvlJc w:val="left"/>
      <w:pPr>
        <w:ind w:left="2474" w:hanging="634"/>
      </w:pPr>
      <w:rPr>
        <w:rFonts w:hint="default"/>
        <w:lang w:val="en-US" w:eastAsia="en-US" w:bidi="ar-SA"/>
      </w:rPr>
    </w:lvl>
    <w:lvl w:ilvl="8">
      <w:start w:val="0"/>
      <w:numFmt w:val="bullet"/>
      <w:lvlText w:val="•"/>
      <w:lvlJc w:val="left"/>
      <w:pPr>
        <w:ind w:left="2702" w:hanging="634"/>
      </w:pPr>
      <w:rPr>
        <w:rFonts w:hint="default"/>
        <w:lang w:val="en-US" w:eastAsia="en-US" w:bidi="ar-SA"/>
      </w:rPr>
    </w:lvl>
  </w:abstractNum>
  <w:abstractNum w:abstractNumId="1">
    <w:multiLevelType w:val="hybridMultilevel"/>
    <w:lvl w:ilvl="0">
      <w:start w:val="1"/>
      <w:numFmt w:val="lowerRoman"/>
      <w:lvlText w:val="%1."/>
      <w:lvlJc w:val="left"/>
      <w:pPr>
        <w:ind w:left="734" w:hanging="47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981" w:hanging="478"/>
      </w:pPr>
      <w:rPr>
        <w:rFonts w:hint="default"/>
        <w:lang w:val="en-US" w:eastAsia="en-US" w:bidi="ar-SA"/>
      </w:rPr>
    </w:lvl>
    <w:lvl w:ilvl="2">
      <w:start w:val="0"/>
      <w:numFmt w:val="bullet"/>
      <w:lvlText w:val="•"/>
      <w:lvlJc w:val="left"/>
      <w:pPr>
        <w:ind w:left="1223" w:hanging="478"/>
      </w:pPr>
      <w:rPr>
        <w:rFonts w:hint="default"/>
        <w:lang w:val="en-US" w:eastAsia="en-US" w:bidi="ar-SA"/>
      </w:rPr>
    </w:lvl>
    <w:lvl w:ilvl="3">
      <w:start w:val="0"/>
      <w:numFmt w:val="bullet"/>
      <w:lvlText w:val="•"/>
      <w:lvlJc w:val="left"/>
      <w:pPr>
        <w:ind w:left="1465" w:hanging="478"/>
      </w:pPr>
      <w:rPr>
        <w:rFonts w:hint="default"/>
        <w:lang w:val="en-US" w:eastAsia="en-US" w:bidi="ar-SA"/>
      </w:rPr>
    </w:lvl>
    <w:lvl w:ilvl="4">
      <w:start w:val="0"/>
      <w:numFmt w:val="bullet"/>
      <w:lvlText w:val="•"/>
      <w:lvlJc w:val="left"/>
      <w:pPr>
        <w:ind w:left="1707" w:hanging="478"/>
      </w:pPr>
      <w:rPr>
        <w:rFonts w:hint="default"/>
        <w:lang w:val="en-US" w:eastAsia="en-US" w:bidi="ar-SA"/>
      </w:rPr>
    </w:lvl>
    <w:lvl w:ilvl="5">
      <w:start w:val="0"/>
      <w:numFmt w:val="bullet"/>
      <w:lvlText w:val="•"/>
      <w:lvlJc w:val="left"/>
      <w:pPr>
        <w:ind w:left="1949" w:hanging="478"/>
      </w:pPr>
      <w:rPr>
        <w:rFonts w:hint="default"/>
        <w:lang w:val="en-US" w:eastAsia="en-US" w:bidi="ar-SA"/>
      </w:rPr>
    </w:lvl>
    <w:lvl w:ilvl="6">
      <w:start w:val="0"/>
      <w:numFmt w:val="bullet"/>
      <w:lvlText w:val="•"/>
      <w:lvlJc w:val="left"/>
      <w:pPr>
        <w:ind w:left="2190" w:hanging="478"/>
      </w:pPr>
      <w:rPr>
        <w:rFonts w:hint="default"/>
        <w:lang w:val="en-US" w:eastAsia="en-US" w:bidi="ar-SA"/>
      </w:rPr>
    </w:lvl>
    <w:lvl w:ilvl="7">
      <w:start w:val="0"/>
      <w:numFmt w:val="bullet"/>
      <w:lvlText w:val="•"/>
      <w:lvlJc w:val="left"/>
      <w:pPr>
        <w:ind w:left="2432" w:hanging="478"/>
      </w:pPr>
      <w:rPr>
        <w:rFonts w:hint="default"/>
        <w:lang w:val="en-US" w:eastAsia="en-US" w:bidi="ar-SA"/>
      </w:rPr>
    </w:lvl>
    <w:lvl w:ilvl="8">
      <w:start w:val="0"/>
      <w:numFmt w:val="bullet"/>
      <w:lvlText w:val="•"/>
      <w:lvlJc w:val="left"/>
      <w:pPr>
        <w:ind w:left="2674" w:hanging="478"/>
      </w:pPr>
      <w:rPr>
        <w:rFonts w:hint="default"/>
        <w:lang w:val="en-US" w:eastAsia="en-US" w:bidi="ar-SA"/>
      </w:rPr>
    </w:lvl>
  </w:abstractNum>
  <w:abstractNum w:abstractNumId="0">
    <w:multiLevelType w:val="hybridMultilevel"/>
    <w:lvl w:ilvl="0">
      <w:start w:val="1"/>
      <w:numFmt w:val="lowerRoman"/>
      <w:lvlText w:val="%1."/>
      <w:lvlJc w:val="left"/>
      <w:pPr>
        <w:ind w:left="1380" w:hanging="476"/>
        <w:jc w:val="righ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286" w:hanging="476"/>
      </w:pPr>
      <w:rPr>
        <w:rFonts w:hint="default"/>
        <w:lang w:val="en-US" w:eastAsia="en-US" w:bidi="ar-SA"/>
      </w:rPr>
    </w:lvl>
    <w:lvl w:ilvl="2">
      <w:start w:val="0"/>
      <w:numFmt w:val="bullet"/>
      <w:lvlText w:val="•"/>
      <w:lvlJc w:val="left"/>
      <w:pPr>
        <w:ind w:left="3193" w:hanging="476"/>
      </w:pPr>
      <w:rPr>
        <w:rFonts w:hint="default"/>
        <w:lang w:val="en-US" w:eastAsia="en-US" w:bidi="ar-SA"/>
      </w:rPr>
    </w:lvl>
    <w:lvl w:ilvl="3">
      <w:start w:val="0"/>
      <w:numFmt w:val="bullet"/>
      <w:lvlText w:val="•"/>
      <w:lvlJc w:val="left"/>
      <w:pPr>
        <w:ind w:left="4099" w:hanging="476"/>
      </w:pPr>
      <w:rPr>
        <w:rFonts w:hint="default"/>
        <w:lang w:val="en-US" w:eastAsia="en-US" w:bidi="ar-SA"/>
      </w:rPr>
    </w:lvl>
    <w:lvl w:ilvl="4">
      <w:start w:val="0"/>
      <w:numFmt w:val="bullet"/>
      <w:lvlText w:val="•"/>
      <w:lvlJc w:val="left"/>
      <w:pPr>
        <w:ind w:left="5006" w:hanging="476"/>
      </w:pPr>
      <w:rPr>
        <w:rFonts w:hint="default"/>
        <w:lang w:val="en-US" w:eastAsia="en-US" w:bidi="ar-SA"/>
      </w:rPr>
    </w:lvl>
    <w:lvl w:ilvl="5">
      <w:start w:val="0"/>
      <w:numFmt w:val="bullet"/>
      <w:lvlText w:val="•"/>
      <w:lvlJc w:val="left"/>
      <w:pPr>
        <w:ind w:left="5913" w:hanging="476"/>
      </w:pPr>
      <w:rPr>
        <w:rFonts w:hint="default"/>
        <w:lang w:val="en-US" w:eastAsia="en-US" w:bidi="ar-SA"/>
      </w:rPr>
    </w:lvl>
    <w:lvl w:ilvl="6">
      <w:start w:val="0"/>
      <w:numFmt w:val="bullet"/>
      <w:lvlText w:val="•"/>
      <w:lvlJc w:val="left"/>
      <w:pPr>
        <w:ind w:left="6819" w:hanging="476"/>
      </w:pPr>
      <w:rPr>
        <w:rFonts w:hint="default"/>
        <w:lang w:val="en-US" w:eastAsia="en-US" w:bidi="ar-SA"/>
      </w:rPr>
    </w:lvl>
    <w:lvl w:ilvl="7">
      <w:start w:val="0"/>
      <w:numFmt w:val="bullet"/>
      <w:lvlText w:val="•"/>
      <w:lvlJc w:val="left"/>
      <w:pPr>
        <w:ind w:left="7726" w:hanging="476"/>
      </w:pPr>
      <w:rPr>
        <w:rFonts w:hint="default"/>
        <w:lang w:val="en-US" w:eastAsia="en-US" w:bidi="ar-SA"/>
      </w:rPr>
    </w:lvl>
    <w:lvl w:ilvl="8">
      <w:start w:val="0"/>
      <w:numFmt w:val="bullet"/>
      <w:lvlText w:val="•"/>
      <w:lvlJc w:val="left"/>
      <w:pPr>
        <w:ind w:left="8633" w:hanging="476"/>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580" w:right="1676"/>
      <w:jc w:val="center"/>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spacing w:before="80"/>
      <w:ind w:left="1380" w:hanging="599"/>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80"/>
      <w:ind w:left="1380" w:hanging="59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02"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hyperlink" Target="http://www.finance.gov.bw/" TargetMode="Externa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Thato Malunga</dc:creator>
  <dcterms:created xsi:type="dcterms:W3CDTF">2026-04-16T19:53:58Z</dcterms:created>
  <dcterms:modified xsi:type="dcterms:W3CDTF">2026-04-16T19:53:58Z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2022-11-23T00:00:00Z</vt:filetime>
  </property>
  <property fmtid="{D5CDD505-2E9C-101B-9397-08002B2CF9AE}" pid="3" name="Creator">
    <vt:lpwstr>Microsoft® Word 2013</vt:lpwstr>
  </property>
  <property fmtid="{D5CDD505-2E9C-101B-9397-08002B2CF9AE}" pid="4" name="LastSaved">
    <vt:filetime>2026-04-16T00:00:00Z</vt:filetime>
  </property>
  <property fmtid="{D5CDD505-2E9C-101B-9397-08002B2CF9AE}" pid="5" name="Producer">
    <vt:lpwstr>Microsoft® Word 2013</vt:lpwstr>
  </property>
</Properties>
</file>