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437EE" w14:textId="1149E5D8" w:rsidR="00996983" w:rsidRPr="007A2596" w:rsidRDefault="008931F3">
      <w:pPr>
        <w:rPr>
          <w:b/>
          <w:bCs/>
          <w:u w:val="single"/>
        </w:rPr>
      </w:pPr>
      <w:r w:rsidRPr="007A2596">
        <w:rPr>
          <w:b/>
          <w:bCs/>
          <w:u w:val="single"/>
        </w:rPr>
        <w:t>Excel assessment</w:t>
      </w:r>
    </w:p>
    <w:p w14:paraId="1A261294" w14:textId="762D8AF9" w:rsidR="00E32BF9" w:rsidRPr="00826C88" w:rsidRDefault="001163AC">
      <w:r w:rsidRPr="00826C88">
        <w:t xml:space="preserve">First and most importantly, I wanted to have a look at </w:t>
      </w:r>
      <w:r w:rsidR="002D5686" w:rsidRPr="00826C88">
        <w:t>the profits and losses</w:t>
      </w:r>
      <w:r w:rsidRPr="00826C88">
        <w:t xml:space="preserve"> as </w:t>
      </w:r>
      <w:r w:rsidR="002D5686" w:rsidRPr="00826C88">
        <w:t xml:space="preserve">2 of </w:t>
      </w:r>
      <w:r w:rsidR="00834811" w:rsidRPr="00826C88">
        <w:t xml:space="preserve">the most important areas </w:t>
      </w:r>
      <w:r w:rsidR="0000656F">
        <w:t xml:space="preserve">any business needs </w:t>
      </w:r>
      <w:r w:rsidR="00834811" w:rsidRPr="00826C88">
        <w:t xml:space="preserve">to focus on is </w:t>
      </w:r>
      <w:r w:rsidR="002D5686" w:rsidRPr="00826C88">
        <w:t xml:space="preserve">increasing profits and reducing losses. </w:t>
      </w:r>
      <w:r w:rsidR="0000656F">
        <w:t>In general,</w:t>
      </w:r>
      <w:r w:rsidR="003D793D" w:rsidRPr="00826C88">
        <w:t xml:space="preserve"> high profits could be because of high quality of product, high sales, high </w:t>
      </w:r>
      <w:r w:rsidR="005512EF" w:rsidRPr="00826C88">
        <w:t xml:space="preserve">quantity, desirable and accessible region, </w:t>
      </w:r>
      <w:r w:rsidR="00EC5C33" w:rsidRPr="00826C88">
        <w:t xml:space="preserve">high speed of delivery, </w:t>
      </w:r>
      <w:r w:rsidR="00BD37B1" w:rsidRPr="00826C88">
        <w:t xml:space="preserve">high customer satisfaction and </w:t>
      </w:r>
      <w:r w:rsidR="00E32BF9" w:rsidRPr="00826C88">
        <w:t xml:space="preserve">high enough price. </w:t>
      </w:r>
    </w:p>
    <w:p w14:paraId="78A9E51A" w14:textId="11F025CE" w:rsidR="008879D6" w:rsidRPr="00826C88" w:rsidRDefault="008879D6">
      <w:r w:rsidRPr="00826C88">
        <w:t>Alternatively,</w:t>
      </w:r>
      <w:r w:rsidR="00E32BF9" w:rsidRPr="00826C88">
        <w:t xml:space="preserve"> </w:t>
      </w:r>
      <w:r w:rsidR="002D5686" w:rsidRPr="00826C88">
        <w:t xml:space="preserve">losses could either be caused due to the product itself, the sales the product generates, the quantity of the product sold, the region it’s sold in, and the speed of delivery of the product, customer satisfaction of product i.e., whether it was returned or not, </w:t>
      </w:r>
      <w:r w:rsidR="00C415E5" w:rsidRPr="00826C88">
        <w:t>and not high enough price.</w:t>
      </w:r>
    </w:p>
    <w:p w14:paraId="109DB5A2" w14:textId="77777777" w:rsidR="008879D6" w:rsidRPr="00826C88" w:rsidRDefault="008879D6">
      <w:pPr>
        <w:rPr>
          <w:b/>
          <w:bCs/>
        </w:rPr>
      </w:pPr>
    </w:p>
    <w:p w14:paraId="76CB667F" w14:textId="5C003FD5" w:rsidR="008879D6" w:rsidRPr="007A2596" w:rsidRDefault="008879D6">
      <w:pPr>
        <w:rPr>
          <w:b/>
          <w:bCs/>
          <w:u w:val="single"/>
        </w:rPr>
      </w:pPr>
      <w:r w:rsidRPr="007A2596">
        <w:rPr>
          <w:b/>
          <w:bCs/>
          <w:u w:val="single"/>
        </w:rPr>
        <w:t>Analysis</w:t>
      </w:r>
    </w:p>
    <w:p w14:paraId="6906EB20" w14:textId="7ADCF8F3" w:rsidR="002D5686" w:rsidRPr="00826C88" w:rsidRDefault="002D5686" w:rsidP="002D5686">
      <w:r w:rsidRPr="00826C88">
        <w:t xml:space="preserve">I created </w:t>
      </w:r>
      <w:r w:rsidR="00B02F2B" w:rsidRPr="00826C88">
        <w:t>a</w:t>
      </w:r>
      <w:r w:rsidRPr="00826C88">
        <w:t xml:space="preserve"> pivot table for the sum of profits for each product ID and product name and by ordering the sum of profits in ascending order, and then only presented the top 12 highest profits for comparison.</w:t>
      </w:r>
    </w:p>
    <w:p w14:paraId="781FE0DC" w14:textId="0E17DB59" w:rsidR="00ED1DA9" w:rsidRPr="00826C88" w:rsidRDefault="006E26A0">
      <w:r w:rsidRPr="00826C88">
        <w:rPr>
          <w:noProof/>
        </w:rPr>
        <w:drawing>
          <wp:anchor distT="0" distB="0" distL="114300" distR="114300" simplePos="0" relativeHeight="251660288" behindDoc="1" locked="0" layoutInCell="1" allowOverlap="1" wp14:anchorId="78487C5B" wp14:editId="701CDCB0">
            <wp:simplePos x="0" y="0"/>
            <wp:positionH relativeFrom="column">
              <wp:posOffset>51207</wp:posOffset>
            </wp:positionH>
            <wp:positionV relativeFrom="paragraph">
              <wp:posOffset>4090</wp:posOffset>
            </wp:positionV>
            <wp:extent cx="3255010" cy="2413635"/>
            <wp:effectExtent l="0" t="0" r="0" b="0"/>
            <wp:wrapTight wrapText="bothSides">
              <wp:wrapPolygon edited="0">
                <wp:start x="0" y="0"/>
                <wp:lineTo x="0" y="21481"/>
                <wp:lineTo x="21490" y="21481"/>
                <wp:lineTo x="21490" y="0"/>
                <wp:lineTo x="0" y="0"/>
              </wp:wrapPolygon>
            </wp:wrapTight>
            <wp:docPr id="2145038682" name="Chart 1">
              <a:extLst xmlns:a="http://schemas.openxmlformats.org/drawingml/2006/main">
                <a:ext uri="{FF2B5EF4-FFF2-40B4-BE49-F238E27FC236}">
                  <a16:creationId xmlns:a16="http://schemas.microsoft.com/office/drawing/2014/main" id="{95E686E2-2C5B-4290-A027-FFD67DE12F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sidR="002D5686" w:rsidRPr="00826C88">
        <w:t>From this we can see that the product that’s associated with the biggest profit is canon image CLASS 2200 advanced copier.</w:t>
      </w:r>
    </w:p>
    <w:p w14:paraId="49096FAE" w14:textId="77777777" w:rsidR="003D3E22" w:rsidRDefault="003D3E22">
      <w:pPr>
        <w:rPr>
          <w:color w:val="FF0000"/>
        </w:rPr>
      </w:pPr>
    </w:p>
    <w:p w14:paraId="618DAF71" w14:textId="77777777" w:rsidR="003D3E22" w:rsidRDefault="003D3E22">
      <w:pPr>
        <w:rPr>
          <w:color w:val="FF0000"/>
        </w:rPr>
      </w:pPr>
    </w:p>
    <w:p w14:paraId="278064B4" w14:textId="77777777" w:rsidR="003D3E22" w:rsidRDefault="003D3E22">
      <w:pPr>
        <w:rPr>
          <w:color w:val="FF0000"/>
        </w:rPr>
      </w:pPr>
    </w:p>
    <w:p w14:paraId="4A2323E2" w14:textId="77777777" w:rsidR="003D3E22" w:rsidRDefault="003D3E22">
      <w:pPr>
        <w:rPr>
          <w:color w:val="FF0000"/>
        </w:rPr>
      </w:pPr>
    </w:p>
    <w:p w14:paraId="2E4ADF04" w14:textId="77777777" w:rsidR="003D3E22" w:rsidRDefault="003D3E22">
      <w:pPr>
        <w:rPr>
          <w:color w:val="FF0000"/>
        </w:rPr>
      </w:pPr>
    </w:p>
    <w:p w14:paraId="6D81B80A" w14:textId="77777777" w:rsidR="003D3E22" w:rsidRDefault="003D3E22">
      <w:pPr>
        <w:rPr>
          <w:color w:val="FF0000"/>
        </w:rPr>
      </w:pPr>
    </w:p>
    <w:p w14:paraId="198A31B4" w14:textId="77777777" w:rsidR="003D3E22" w:rsidRDefault="003D3E22">
      <w:pPr>
        <w:rPr>
          <w:color w:val="FF0000"/>
        </w:rPr>
      </w:pPr>
    </w:p>
    <w:p w14:paraId="4CB4FBF4" w14:textId="77777777" w:rsidR="00003A1E" w:rsidRPr="00B976F9" w:rsidRDefault="00003A1E" w:rsidP="00003A1E">
      <w:pPr>
        <w:rPr>
          <w:color w:val="4472C4" w:themeColor="accent1"/>
        </w:rPr>
      </w:pPr>
      <w:r w:rsidRPr="00B976F9">
        <w:rPr>
          <w:color w:val="4472C4" w:themeColor="accent1"/>
        </w:rPr>
        <w:t>Suggestion 1: Increase the sales for canon image CLASS 2200 advanced copier as it’s a profitable product.</w:t>
      </w:r>
      <w:r w:rsidRPr="00550839">
        <w:rPr>
          <w:color w:val="4472C4" w:themeColor="accent1"/>
        </w:rPr>
        <w:t xml:space="preserve"> </w:t>
      </w:r>
      <w:r w:rsidRPr="000B296F">
        <w:rPr>
          <w:color w:val="4472C4" w:themeColor="accent1"/>
        </w:rPr>
        <w:t xml:space="preserve">Consider encouraging the team to sell more </w:t>
      </w:r>
      <w:r>
        <w:rPr>
          <w:color w:val="4472C4" w:themeColor="accent1"/>
        </w:rPr>
        <w:t>of them</w:t>
      </w:r>
      <w:r w:rsidRPr="000B296F">
        <w:rPr>
          <w:color w:val="4472C4" w:themeColor="accent1"/>
        </w:rPr>
        <w:t>, order more of them to have in stock, and market and display them better.</w:t>
      </w:r>
    </w:p>
    <w:p w14:paraId="4B1A27CF" w14:textId="09E19F20" w:rsidR="007672CF" w:rsidRPr="00826C88" w:rsidRDefault="004B34E5">
      <w:r w:rsidRPr="00826C88">
        <w:t xml:space="preserve">I </w:t>
      </w:r>
      <w:r w:rsidR="00A83DF9" w:rsidRPr="00826C88">
        <w:t>also</w:t>
      </w:r>
      <w:r w:rsidRPr="00826C88">
        <w:t xml:space="preserve"> created a pivot table for the sum of </w:t>
      </w:r>
      <w:r w:rsidR="00CF6D9C" w:rsidRPr="00826C88">
        <w:t>losses</w:t>
      </w:r>
      <w:r w:rsidRPr="00826C88">
        <w:t xml:space="preserve"> for each product ID </w:t>
      </w:r>
      <w:r w:rsidR="00091AAE" w:rsidRPr="00826C88">
        <w:t xml:space="preserve">and product name </w:t>
      </w:r>
      <w:r w:rsidRPr="00826C88">
        <w:t xml:space="preserve">and </w:t>
      </w:r>
      <w:r w:rsidR="00CF6D9C" w:rsidRPr="00826C88">
        <w:t xml:space="preserve">by </w:t>
      </w:r>
      <w:r w:rsidRPr="00826C88">
        <w:t>order</w:t>
      </w:r>
      <w:r w:rsidR="00CF6D9C" w:rsidRPr="00826C88">
        <w:t>ing</w:t>
      </w:r>
      <w:r w:rsidRPr="00826C88">
        <w:t xml:space="preserve"> the sum </w:t>
      </w:r>
      <w:r w:rsidR="00CF6D9C" w:rsidRPr="00826C88">
        <w:t xml:space="preserve">of profits </w:t>
      </w:r>
      <w:r w:rsidRPr="00826C88">
        <w:t>in descending order</w:t>
      </w:r>
      <w:r w:rsidR="00910A88" w:rsidRPr="00826C88">
        <w:t xml:space="preserve">, and </w:t>
      </w:r>
      <w:r w:rsidR="005E0FFD" w:rsidRPr="00826C88">
        <w:t>then only presented</w:t>
      </w:r>
      <w:r w:rsidR="00910A88" w:rsidRPr="00826C88">
        <w:t xml:space="preserve"> the top 12 highest losses as these were </w:t>
      </w:r>
      <w:r w:rsidR="00636EDC" w:rsidRPr="00826C88">
        <w:t xml:space="preserve">the </w:t>
      </w:r>
      <w:proofErr w:type="gramStart"/>
      <w:r w:rsidR="00636EDC" w:rsidRPr="00826C88">
        <w:t>4 digit</w:t>
      </w:r>
      <w:proofErr w:type="gramEnd"/>
      <w:r w:rsidR="00636EDC" w:rsidRPr="00826C88">
        <w:t xml:space="preserve"> losses.</w:t>
      </w:r>
    </w:p>
    <w:p w14:paraId="57719A44" w14:textId="335D653D" w:rsidR="007E003B" w:rsidRPr="00826C88" w:rsidRDefault="00EF708E">
      <w:r w:rsidRPr="00826C88">
        <w:rPr>
          <w:noProof/>
        </w:rPr>
        <w:lastRenderedPageBreak/>
        <w:drawing>
          <wp:anchor distT="0" distB="0" distL="114300" distR="114300" simplePos="0" relativeHeight="251655168" behindDoc="1" locked="0" layoutInCell="1" allowOverlap="1" wp14:anchorId="7069C0F9" wp14:editId="1E4B4C4B">
            <wp:simplePos x="0" y="0"/>
            <wp:positionH relativeFrom="column">
              <wp:posOffset>0</wp:posOffset>
            </wp:positionH>
            <wp:positionV relativeFrom="paragraph">
              <wp:posOffset>2540</wp:posOffset>
            </wp:positionV>
            <wp:extent cx="3211830" cy="2054225"/>
            <wp:effectExtent l="0" t="0" r="0" b="0"/>
            <wp:wrapTight wrapText="bothSides">
              <wp:wrapPolygon edited="0">
                <wp:start x="0" y="0"/>
                <wp:lineTo x="0" y="21433"/>
                <wp:lineTo x="21523" y="21433"/>
                <wp:lineTo x="21523" y="0"/>
                <wp:lineTo x="0" y="0"/>
              </wp:wrapPolygon>
            </wp:wrapTight>
            <wp:docPr id="1553857988" name="Chart 1">
              <a:extLst xmlns:a="http://schemas.openxmlformats.org/drawingml/2006/main">
                <a:ext uri="{FF2B5EF4-FFF2-40B4-BE49-F238E27FC236}">
                  <a16:creationId xmlns:a16="http://schemas.microsoft.com/office/drawing/2014/main" id="{ABED231A-2B71-4A2A-ABEF-BDDE167BB2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r w:rsidR="00EB6E8E" w:rsidRPr="00826C88">
        <w:t>From this we can see that t</w:t>
      </w:r>
      <w:r w:rsidR="00091AAE" w:rsidRPr="00826C88">
        <w:t xml:space="preserve">he product that’s associated with the biggest loss is </w:t>
      </w:r>
      <w:proofErr w:type="spellStart"/>
      <w:r w:rsidR="0085573D" w:rsidRPr="00826C88">
        <w:t>cubify</w:t>
      </w:r>
      <w:proofErr w:type="spellEnd"/>
      <w:r w:rsidR="0085573D" w:rsidRPr="00826C88">
        <w:t xml:space="preserve"> </w:t>
      </w:r>
      <w:proofErr w:type="spellStart"/>
      <w:r w:rsidR="0085573D" w:rsidRPr="00826C88">
        <w:t>cubex</w:t>
      </w:r>
      <w:proofErr w:type="spellEnd"/>
      <w:r w:rsidR="0085573D" w:rsidRPr="00826C88">
        <w:t xml:space="preserve"> </w:t>
      </w:r>
      <w:r w:rsidR="00475572" w:rsidRPr="00826C88">
        <w:t>3D</w:t>
      </w:r>
      <w:r w:rsidR="0085573D" w:rsidRPr="00826C88">
        <w:t xml:space="preserve"> printer double head print</w:t>
      </w:r>
      <w:r w:rsidR="00FB7EF5" w:rsidRPr="00826C88">
        <w:t>.</w:t>
      </w:r>
      <w:r w:rsidR="00317360" w:rsidRPr="00826C88">
        <w:t xml:space="preserve"> </w:t>
      </w:r>
    </w:p>
    <w:p w14:paraId="689E9DB5" w14:textId="712C4064" w:rsidR="00582BD1" w:rsidRPr="00826C88" w:rsidRDefault="00582BD1"/>
    <w:p w14:paraId="5C6CC088" w14:textId="5FED2EFC" w:rsidR="00CF6D9C" w:rsidRPr="00826C88" w:rsidRDefault="00CF6D9C"/>
    <w:p w14:paraId="2F474D4F" w14:textId="38C3BB35" w:rsidR="00582BD1" w:rsidRPr="00826C88" w:rsidRDefault="00582BD1" w:rsidP="00CF6D9C"/>
    <w:p w14:paraId="3B9A7DD7" w14:textId="77777777" w:rsidR="00EB016C" w:rsidRDefault="00EB016C"/>
    <w:p w14:paraId="4A12B76B" w14:textId="77777777" w:rsidR="00EB016C" w:rsidRDefault="00EB016C"/>
    <w:p w14:paraId="4437DBAC" w14:textId="77777777" w:rsidR="00EB016C" w:rsidRDefault="00EB016C"/>
    <w:p w14:paraId="527E2B45" w14:textId="4B137337" w:rsidR="00582BD1" w:rsidRPr="00826C88" w:rsidRDefault="00E70636">
      <w:r w:rsidRPr="00826C88">
        <w:t xml:space="preserve">I </w:t>
      </w:r>
      <w:r w:rsidR="00476598" w:rsidRPr="00826C88">
        <w:t>then</w:t>
      </w:r>
      <w:r w:rsidRPr="00826C88">
        <w:t xml:space="preserve"> </w:t>
      </w:r>
      <w:r w:rsidR="00E265C3" w:rsidRPr="00826C88">
        <w:t xml:space="preserve">created a new table just for </w:t>
      </w:r>
      <w:r w:rsidR="004C4798" w:rsidRPr="00826C88">
        <w:t>the 3D double head print</w:t>
      </w:r>
      <w:r w:rsidRPr="00826C88">
        <w:t xml:space="preserve">, </w:t>
      </w:r>
      <w:r w:rsidR="00D82FBA" w:rsidRPr="00826C88">
        <w:t>to have a look at its associated sales and quantity sold</w:t>
      </w:r>
      <w:r w:rsidR="001C17A7">
        <w:t xml:space="preserve"> </w:t>
      </w:r>
      <w:r w:rsidR="00D938D4" w:rsidRPr="00826C88">
        <w:t>to dig into why this product is leading to such huge losses.</w:t>
      </w:r>
      <w:r w:rsidR="001C17A7">
        <w:t xml:space="preserve"> To do </w:t>
      </w:r>
      <w:r w:rsidR="007C4D58">
        <w:t>the comparison,</w:t>
      </w:r>
      <w:r w:rsidR="001C17A7">
        <w:t xml:space="preserve"> I did the average of sales and average of quantity </w:t>
      </w:r>
      <w:r w:rsidR="007C4D58">
        <w:t>sold from the original orders table.</w:t>
      </w:r>
    </w:p>
    <w:p w14:paraId="4949E3B2" w14:textId="684DC966" w:rsidR="00D82FBA" w:rsidRDefault="003D1048">
      <w:r>
        <w:rPr>
          <w:noProof/>
        </w:rPr>
        <w:drawing>
          <wp:inline distT="0" distB="0" distL="0" distR="0" wp14:anchorId="0B344F4F" wp14:editId="429B02D0">
            <wp:extent cx="5658592" cy="408940"/>
            <wp:effectExtent l="0" t="0" r="0" b="0"/>
            <wp:docPr id="1250340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40295" name="Picture 1" descr="A screenshot of a computer&#10;&#10;Description automatically generated"/>
                    <pic:cNvPicPr/>
                  </pic:nvPicPr>
                  <pic:blipFill rotWithShape="1">
                    <a:blip r:embed="rId10"/>
                    <a:srcRect l="2750" t="71957" r="52749" b="20002"/>
                    <a:stretch/>
                  </pic:blipFill>
                  <pic:spPr bwMode="auto">
                    <a:xfrm>
                      <a:off x="0" y="0"/>
                      <a:ext cx="5767948" cy="416843"/>
                    </a:xfrm>
                    <a:prstGeom prst="rect">
                      <a:avLst/>
                    </a:prstGeom>
                    <a:ln>
                      <a:noFill/>
                    </a:ln>
                    <a:extLst>
                      <a:ext uri="{53640926-AAD7-44D8-BBD7-CCE9431645EC}">
                        <a14:shadowObscured xmlns:a14="http://schemas.microsoft.com/office/drawing/2010/main"/>
                      </a:ext>
                    </a:extLst>
                  </pic:spPr>
                </pic:pic>
              </a:graphicData>
            </a:graphic>
          </wp:inline>
        </w:drawing>
      </w:r>
    </w:p>
    <w:p w14:paraId="2C575737" w14:textId="1DD75115" w:rsidR="007C4D58" w:rsidRPr="00826C88" w:rsidRDefault="006946A7">
      <w:r>
        <w:rPr>
          <w:noProof/>
        </w:rPr>
        <w:drawing>
          <wp:inline distT="0" distB="0" distL="0" distR="0" wp14:anchorId="684E5AB5" wp14:editId="3282F421">
            <wp:extent cx="2274125" cy="385356"/>
            <wp:effectExtent l="0" t="0" r="0" b="0"/>
            <wp:docPr id="437689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89629" name="Picture 1" descr="A screenshot of a computer&#10;&#10;Description automatically generated"/>
                    <pic:cNvPicPr/>
                  </pic:nvPicPr>
                  <pic:blipFill rotWithShape="1">
                    <a:blip r:embed="rId11"/>
                    <a:srcRect l="23102" t="44553" r="61216" b="48802"/>
                    <a:stretch/>
                  </pic:blipFill>
                  <pic:spPr bwMode="auto">
                    <a:xfrm>
                      <a:off x="0" y="0"/>
                      <a:ext cx="2336710" cy="395961"/>
                    </a:xfrm>
                    <a:prstGeom prst="rect">
                      <a:avLst/>
                    </a:prstGeom>
                    <a:ln>
                      <a:noFill/>
                    </a:ln>
                    <a:extLst>
                      <a:ext uri="{53640926-AAD7-44D8-BBD7-CCE9431645EC}">
                        <a14:shadowObscured xmlns:a14="http://schemas.microsoft.com/office/drawing/2010/main"/>
                      </a:ext>
                    </a:extLst>
                  </pic:spPr>
                </pic:pic>
              </a:graphicData>
            </a:graphic>
          </wp:inline>
        </w:drawing>
      </w:r>
    </w:p>
    <w:p w14:paraId="7C61EF98" w14:textId="77777777" w:rsidR="00305CA9" w:rsidRDefault="00BD3DDE">
      <w:r w:rsidRPr="00826C88">
        <w:t xml:space="preserve">As shown above, each time </w:t>
      </w:r>
      <w:r w:rsidR="00415F55" w:rsidRPr="00826C88">
        <w:t xml:space="preserve">this item was sold, the quantity was </w:t>
      </w:r>
      <w:r w:rsidR="00826C88">
        <w:t>5,2 and 2</w:t>
      </w:r>
      <w:r w:rsidR="00E77F44" w:rsidRPr="00826C88">
        <w:t xml:space="preserve"> which on average is </w:t>
      </w:r>
      <w:r w:rsidR="009824F4" w:rsidRPr="00826C88">
        <w:t xml:space="preserve">3. This is only slightly lower than the average of all the quantities sold </w:t>
      </w:r>
      <w:r w:rsidR="00305CA9">
        <w:t>(4)</w:t>
      </w:r>
      <w:r w:rsidR="003B3716" w:rsidRPr="00826C88">
        <w:t xml:space="preserve">, which suggests that the issue isn’t with the sales team. </w:t>
      </w:r>
    </w:p>
    <w:p w14:paraId="2E7398C4" w14:textId="374F62B7" w:rsidR="00263DD2" w:rsidRDefault="003042D3">
      <w:r w:rsidRPr="00826C88">
        <w:t>Moreover,</w:t>
      </w:r>
      <w:r w:rsidR="003B3716" w:rsidRPr="00826C88">
        <w:t xml:space="preserve"> the </w:t>
      </w:r>
      <w:proofErr w:type="gramStart"/>
      <w:r w:rsidR="003B3716" w:rsidRPr="00826C88">
        <w:t>amount</w:t>
      </w:r>
      <w:proofErr w:type="gramEnd"/>
      <w:r w:rsidR="003B3716" w:rsidRPr="00826C88">
        <w:t xml:space="preserve"> of sales each time this item was sold was </w:t>
      </w:r>
      <w:r w:rsidR="00BA2BD3">
        <w:t>4500,1800 and 4800.</w:t>
      </w:r>
      <w:r w:rsidR="007419FB" w:rsidRPr="00826C88">
        <w:t xml:space="preserve"> All of these are way above the average sales (</w:t>
      </w:r>
      <w:r w:rsidR="006A40F2" w:rsidRPr="00826C88">
        <w:t>25</w:t>
      </w:r>
      <w:r w:rsidR="00BA2BD3">
        <w:t>1</w:t>
      </w:r>
      <w:r w:rsidR="006A40F2" w:rsidRPr="00826C88">
        <w:t xml:space="preserve">) which again suggests that the issue isn’t to do with the </w:t>
      </w:r>
      <w:proofErr w:type="gramStart"/>
      <w:r w:rsidR="006A40F2" w:rsidRPr="00826C88">
        <w:t>amount</w:t>
      </w:r>
      <w:proofErr w:type="gramEnd"/>
      <w:r w:rsidR="006A40F2" w:rsidRPr="00826C88">
        <w:t xml:space="preserve"> of sales generated.</w:t>
      </w:r>
      <w:r w:rsidR="002A6C50" w:rsidRPr="00826C88">
        <w:t xml:space="preserve"> </w:t>
      </w:r>
      <w:proofErr w:type="gramStart"/>
      <w:r w:rsidR="00263DD2">
        <w:t>Additionally</w:t>
      </w:r>
      <w:proofErr w:type="gramEnd"/>
      <w:r w:rsidR="00263DD2">
        <w:t xml:space="preserve"> when looking at the returns table, we see that</w:t>
      </w:r>
      <w:r w:rsidR="00617CC0" w:rsidRPr="00826C88">
        <w:t xml:space="preserve"> this product has not been returned so </w:t>
      </w:r>
      <w:r w:rsidR="00BA2BD3">
        <w:t>it suggests that the issue is</w:t>
      </w:r>
      <w:r w:rsidR="00617CC0" w:rsidRPr="00826C88">
        <w:t xml:space="preserve"> not to do with the customer satisfaction </w:t>
      </w:r>
      <w:r w:rsidR="00BA2BD3">
        <w:t>in terms of product quality, or product not being delivered on time.</w:t>
      </w:r>
      <w:r w:rsidR="00617CC0" w:rsidRPr="00826C88">
        <w:t xml:space="preserve"> </w:t>
      </w:r>
    </w:p>
    <w:p w14:paraId="365FF1E2" w14:textId="291721DD" w:rsidR="00BD3DDE" w:rsidRPr="00826C88" w:rsidRDefault="006C201B">
      <w:r w:rsidRPr="00826C88">
        <w:t>However,</w:t>
      </w:r>
      <w:r w:rsidR="002A6C50" w:rsidRPr="00826C88">
        <w:t xml:space="preserve"> </w:t>
      </w:r>
      <w:r w:rsidR="008C656F" w:rsidRPr="00826C88">
        <w:t xml:space="preserve">when looking at </w:t>
      </w:r>
      <w:r w:rsidR="007E5564" w:rsidRPr="00826C88">
        <w:t xml:space="preserve">all the </w:t>
      </w:r>
      <w:proofErr w:type="gramStart"/>
      <w:r w:rsidR="007E5564" w:rsidRPr="00826C88">
        <w:t>times</w:t>
      </w:r>
      <w:proofErr w:type="gramEnd"/>
      <w:r w:rsidR="007E5564" w:rsidRPr="00826C88">
        <w:t xml:space="preserve"> this product was sold, we can see that the times it resulted in a loss was when it was sold in Ohio. This may suggest that</w:t>
      </w:r>
      <w:r w:rsidRPr="00826C88">
        <w:t xml:space="preserve"> selling some products </w:t>
      </w:r>
      <w:r w:rsidR="00263DD2">
        <w:t>including this one in</w:t>
      </w:r>
      <w:r w:rsidRPr="00826C88">
        <w:t xml:space="preserve"> Ohio may be very expensive and result in loss</w:t>
      </w:r>
      <w:r w:rsidR="00B9663A" w:rsidRPr="00826C88">
        <w:t xml:space="preserve"> – possibly due to production site being far away from Ohio</w:t>
      </w:r>
      <w:r w:rsidR="00490347">
        <w:t xml:space="preserve"> and possibly because of </w:t>
      </w:r>
      <w:r w:rsidR="00B9663A" w:rsidRPr="00826C88">
        <w:t>transport costs</w:t>
      </w:r>
      <w:r w:rsidR="00490347">
        <w:t xml:space="preserve"> being very high.</w:t>
      </w:r>
      <w:r w:rsidR="005B6809" w:rsidRPr="00826C88">
        <w:t xml:space="preserve"> </w:t>
      </w:r>
    </w:p>
    <w:p w14:paraId="6D164483" w14:textId="77777777" w:rsidR="00003A1E" w:rsidRPr="00B976F9" w:rsidRDefault="00003A1E" w:rsidP="00003A1E">
      <w:pPr>
        <w:rPr>
          <w:color w:val="4472C4" w:themeColor="accent1"/>
        </w:rPr>
      </w:pPr>
      <w:r w:rsidRPr="00B976F9">
        <w:rPr>
          <w:color w:val="4472C4" w:themeColor="accent1"/>
        </w:rPr>
        <w:t xml:space="preserve">Suggestion 2: Stop selling </w:t>
      </w:r>
      <w:proofErr w:type="spellStart"/>
      <w:r w:rsidRPr="00B976F9">
        <w:rPr>
          <w:color w:val="4472C4" w:themeColor="accent1"/>
        </w:rPr>
        <w:t>cubify</w:t>
      </w:r>
      <w:proofErr w:type="spellEnd"/>
      <w:r w:rsidRPr="00B976F9">
        <w:rPr>
          <w:color w:val="4472C4" w:themeColor="accent1"/>
        </w:rPr>
        <w:t xml:space="preserve"> </w:t>
      </w:r>
      <w:proofErr w:type="spellStart"/>
      <w:r w:rsidRPr="00B976F9">
        <w:rPr>
          <w:color w:val="4472C4" w:themeColor="accent1"/>
        </w:rPr>
        <w:t>cubex</w:t>
      </w:r>
      <w:proofErr w:type="spellEnd"/>
      <w:r w:rsidRPr="00B976F9">
        <w:rPr>
          <w:color w:val="4472C4" w:themeColor="accent1"/>
        </w:rPr>
        <w:t xml:space="preserve"> 3D printer double head print in Ohio.</w:t>
      </w:r>
    </w:p>
    <w:p w14:paraId="10C93E32" w14:textId="539B51C8" w:rsidR="00F8252C" w:rsidRDefault="00E62426">
      <w:r>
        <w:rPr>
          <w:noProof/>
        </w:rPr>
        <w:lastRenderedPageBreak/>
        <w:drawing>
          <wp:anchor distT="0" distB="0" distL="114300" distR="114300" simplePos="0" relativeHeight="251662336" behindDoc="1" locked="0" layoutInCell="1" allowOverlap="1" wp14:anchorId="6F03587C" wp14:editId="1D0A274D">
            <wp:simplePos x="0" y="0"/>
            <wp:positionH relativeFrom="column">
              <wp:posOffset>0</wp:posOffset>
            </wp:positionH>
            <wp:positionV relativeFrom="paragraph">
              <wp:posOffset>879871</wp:posOffset>
            </wp:positionV>
            <wp:extent cx="5731510" cy="2924810"/>
            <wp:effectExtent l="0" t="0" r="0" b="0"/>
            <wp:wrapTight wrapText="bothSides">
              <wp:wrapPolygon edited="0">
                <wp:start x="0" y="0"/>
                <wp:lineTo x="0" y="21525"/>
                <wp:lineTo x="21538" y="21525"/>
                <wp:lineTo x="21538" y="0"/>
                <wp:lineTo x="0" y="0"/>
              </wp:wrapPolygon>
            </wp:wrapTight>
            <wp:docPr id="1526003883" name="Chart 1">
              <a:extLst xmlns:a="http://schemas.openxmlformats.org/drawingml/2006/main">
                <a:ext uri="{FF2B5EF4-FFF2-40B4-BE49-F238E27FC236}">
                  <a16:creationId xmlns:a16="http://schemas.microsoft.com/office/drawing/2014/main" id="{971F4185-C7FE-49F6-94D5-B054553DE3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r w:rsidR="00F03955" w:rsidRPr="00826C88">
        <w:t>Following on from this,</w:t>
      </w:r>
      <w:r w:rsidR="002F2E85" w:rsidRPr="00826C88">
        <w:t xml:space="preserve"> I </w:t>
      </w:r>
      <w:r w:rsidR="003D3E22">
        <w:t xml:space="preserve">wanted to </w:t>
      </w:r>
      <w:r w:rsidR="007A72E9">
        <w:t xml:space="preserve">look more into whether selling in certain states could be affecting profitability. </w:t>
      </w:r>
      <w:r w:rsidR="00F8252C">
        <w:t>Thus,</w:t>
      </w:r>
      <w:r w:rsidR="007A72E9">
        <w:t xml:space="preserve"> I created a pivot table for </w:t>
      </w:r>
      <w:r w:rsidR="002F2E85" w:rsidRPr="00826C88">
        <w:t xml:space="preserve">profits </w:t>
      </w:r>
      <w:r w:rsidR="001D52F6" w:rsidRPr="00826C88">
        <w:t>for each state</w:t>
      </w:r>
      <w:r w:rsidR="007A72E9">
        <w:t>.</w:t>
      </w:r>
      <w:r w:rsidR="00903CAE">
        <w:t xml:space="preserve"> This showed that </w:t>
      </w:r>
      <w:r w:rsidR="00297B10">
        <w:t>Texas had the highest losses and California had the highest profits.</w:t>
      </w:r>
      <w:r w:rsidR="00297B10" w:rsidRPr="00297B10">
        <w:t xml:space="preserve"> </w:t>
      </w:r>
      <w:r w:rsidR="00297B10">
        <w:t>Notably, t</w:t>
      </w:r>
      <w:r w:rsidR="00297B10" w:rsidRPr="00826C88">
        <w:t>he fact that Ohio is second in this list further confirms my last suggestion.</w:t>
      </w:r>
    </w:p>
    <w:p w14:paraId="457458CB" w14:textId="77777777" w:rsidR="00AB1CE0" w:rsidRDefault="00AB1CE0" w:rsidP="00003A1E">
      <w:pPr>
        <w:rPr>
          <w:color w:val="4472C4" w:themeColor="accent1"/>
        </w:rPr>
      </w:pPr>
    </w:p>
    <w:p w14:paraId="7DD7593A" w14:textId="77777777" w:rsidR="00AB1CE0" w:rsidRDefault="00AB1CE0" w:rsidP="00003A1E">
      <w:pPr>
        <w:rPr>
          <w:color w:val="4472C4" w:themeColor="accent1"/>
        </w:rPr>
      </w:pPr>
    </w:p>
    <w:p w14:paraId="5ACC4B67" w14:textId="4ED8A2AF" w:rsidR="00AB1CE0" w:rsidRPr="00AB1CE0" w:rsidRDefault="00AB1CE0" w:rsidP="00003A1E">
      <w:r>
        <w:t>I also looked at the sales for each state.</w:t>
      </w:r>
      <w:r w:rsidR="004B64F1">
        <w:t xml:space="preserve"> The sales for California and New York are the 2 highest which matches the profits and suggests that these are good areas to keep focusing on in terms of sa</w:t>
      </w:r>
      <w:r w:rsidR="00842BF8">
        <w:t>les. However surprisingly Texas has the 3</w:t>
      </w:r>
      <w:r w:rsidR="00842BF8" w:rsidRPr="00842BF8">
        <w:rPr>
          <w:vertAlign w:val="superscript"/>
        </w:rPr>
        <w:t>rd</w:t>
      </w:r>
      <w:r w:rsidR="00842BF8">
        <w:t xml:space="preserve"> highest sales even though it has the lowest profits, which further shows that it’s not a good area to focus sales efforts on.</w:t>
      </w:r>
    </w:p>
    <w:p w14:paraId="39E4FE8E" w14:textId="6932EF6C" w:rsidR="00AB1CE0" w:rsidRDefault="00C13D49" w:rsidP="00003A1E">
      <w:pPr>
        <w:rPr>
          <w:color w:val="4472C4" w:themeColor="accent1"/>
        </w:rPr>
      </w:pPr>
      <w:r>
        <w:rPr>
          <w:noProof/>
        </w:rPr>
        <w:drawing>
          <wp:inline distT="0" distB="0" distL="0" distR="0" wp14:anchorId="6217EE47" wp14:editId="5DCD0372">
            <wp:extent cx="6097905" cy="2927144"/>
            <wp:effectExtent l="0" t="0" r="0" b="0"/>
            <wp:docPr id="1893081259" name="Chart 1">
              <a:extLst xmlns:a="http://schemas.openxmlformats.org/drawingml/2006/main">
                <a:ext uri="{FF2B5EF4-FFF2-40B4-BE49-F238E27FC236}">
                  <a16:creationId xmlns:a16="http://schemas.microsoft.com/office/drawing/2014/main" id="{4E32F753-B597-4730-BD08-31E09A4EDC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C3C4379" w14:textId="77777777" w:rsidR="00AB1CE0" w:rsidRDefault="00AB1CE0" w:rsidP="00003A1E">
      <w:pPr>
        <w:rPr>
          <w:color w:val="4472C4" w:themeColor="accent1"/>
        </w:rPr>
      </w:pPr>
    </w:p>
    <w:p w14:paraId="14657C09" w14:textId="21065D76" w:rsidR="00003A1E" w:rsidRPr="00B976F9" w:rsidRDefault="00003A1E" w:rsidP="00003A1E">
      <w:pPr>
        <w:rPr>
          <w:color w:val="4472C4" w:themeColor="accent1"/>
        </w:rPr>
      </w:pPr>
      <w:r w:rsidRPr="00B976F9">
        <w:rPr>
          <w:color w:val="4472C4" w:themeColor="accent1"/>
        </w:rPr>
        <w:lastRenderedPageBreak/>
        <w:t>Suggestion 3: Increase sales in California and New York</w:t>
      </w:r>
      <w:r>
        <w:rPr>
          <w:color w:val="4472C4" w:themeColor="accent1"/>
        </w:rPr>
        <w:t xml:space="preserve">. This could be done by focusing more of the marketing budget for these states, by shipping more products to these states, expanding the sales team in these states etc. On the other </w:t>
      </w:r>
      <w:proofErr w:type="gramStart"/>
      <w:r>
        <w:rPr>
          <w:color w:val="4472C4" w:themeColor="accent1"/>
        </w:rPr>
        <w:t>hand</w:t>
      </w:r>
      <w:proofErr w:type="gramEnd"/>
      <w:r w:rsidRPr="00B976F9">
        <w:rPr>
          <w:color w:val="4472C4" w:themeColor="accent1"/>
        </w:rPr>
        <w:t xml:space="preserve"> consider not selling in states like Texas and Ohio.</w:t>
      </w:r>
    </w:p>
    <w:p w14:paraId="02DD3952" w14:textId="37191960" w:rsidR="00667385" w:rsidRDefault="00667385"/>
    <w:p w14:paraId="5886876F" w14:textId="6B01940D" w:rsidR="00A60FAE" w:rsidRPr="00A60FAE" w:rsidRDefault="00667385">
      <w:r w:rsidRPr="00A60FAE">
        <w:t xml:space="preserve">Then I wanted to look more closely </w:t>
      </w:r>
      <w:r w:rsidR="004230CC" w:rsidRPr="00A60FAE">
        <w:t xml:space="preserve">into </w:t>
      </w:r>
      <w:r w:rsidR="00B85607" w:rsidRPr="00A60FAE">
        <w:t xml:space="preserve">Texas </w:t>
      </w:r>
      <w:r w:rsidR="00A60FAE">
        <w:t>as it was</w:t>
      </w:r>
      <w:r w:rsidR="00B85607" w:rsidRPr="00A60FAE">
        <w:t xml:space="preserve"> associated with the most losses</w:t>
      </w:r>
      <w:r w:rsidR="00497D17" w:rsidRPr="00A60FAE">
        <w:t>.</w:t>
      </w:r>
      <w:r w:rsidR="00B85607" w:rsidRPr="00A60FAE">
        <w:t xml:space="preserve"> </w:t>
      </w:r>
      <w:r w:rsidR="000435EC" w:rsidRPr="00A60FAE">
        <w:t xml:space="preserve">The losses </w:t>
      </w:r>
      <w:r w:rsidR="00497D17" w:rsidRPr="00A60FAE">
        <w:t xml:space="preserve">may be </w:t>
      </w:r>
      <w:proofErr w:type="gramStart"/>
      <w:r w:rsidR="00497D17" w:rsidRPr="00A60FAE">
        <w:t>due to the fact that</w:t>
      </w:r>
      <w:proofErr w:type="gramEnd"/>
      <w:r w:rsidR="00497D17" w:rsidRPr="00A60FAE">
        <w:t xml:space="preserve"> the production </w:t>
      </w:r>
      <w:r w:rsidR="000435EC" w:rsidRPr="00A60FAE">
        <w:t xml:space="preserve">sites are </w:t>
      </w:r>
      <w:r w:rsidR="00497D17" w:rsidRPr="00A60FAE">
        <w:t xml:space="preserve">too far and not easily accessible to customers in Texas and Ohio, so it may be that it’s costing a lot for the transport and delivery of these products. </w:t>
      </w:r>
    </w:p>
    <w:p w14:paraId="63875064" w14:textId="77777777" w:rsidR="00A60FAE" w:rsidRDefault="00A60FAE">
      <w:pPr>
        <w:rPr>
          <w:color w:val="FF0000"/>
        </w:rPr>
      </w:pPr>
    </w:p>
    <w:p w14:paraId="71C5FA1F" w14:textId="6F02FADF" w:rsidR="00B75C0D" w:rsidRPr="00B75C0D" w:rsidRDefault="003B1773" w:rsidP="00B75C0D">
      <w:pPr>
        <w:rPr>
          <w:color w:val="000000" w:themeColor="text1"/>
        </w:rPr>
      </w:pPr>
      <w:r w:rsidRPr="00B75C0D">
        <w:rPr>
          <w:color w:val="000000" w:themeColor="text1"/>
        </w:rPr>
        <w:t xml:space="preserve">To </w:t>
      </w:r>
      <w:r w:rsidR="00EB03C2" w:rsidRPr="00B75C0D">
        <w:rPr>
          <w:color w:val="000000" w:themeColor="text1"/>
        </w:rPr>
        <w:t>challenge suggestion 3, I wanted to see if the discounts could be affecting the losses in Texas</w:t>
      </w:r>
      <w:r w:rsidR="00F21DC8" w:rsidRPr="00B75C0D">
        <w:rPr>
          <w:color w:val="000000" w:themeColor="text1"/>
        </w:rPr>
        <w:t>, to see if instead of not selling in Texas we could remove discounts or increase prices</w:t>
      </w:r>
      <w:r w:rsidR="00EB03C2" w:rsidRPr="00B75C0D">
        <w:rPr>
          <w:color w:val="000000" w:themeColor="text1"/>
        </w:rPr>
        <w:t xml:space="preserve">. I produced a pivot table </w:t>
      </w:r>
      <w:r w:rsidR="000353F4" w:rsidRPr="00B75C0D">
        <w:rPr>
          <w:color w:val="000000" w:themeColor="text1"/>
        </w:rPr>
        <w:t>for discounts for each state.</w:t>
      </w:r>
      <w:r w:rsidR="00B75C0D" w:rsidRPr="00B75C0D">
        <w:rPr>
          <w:color w:val="000000" w:themeColor="text1"/>
        </w:rPr>
        <w:t xml:space="preserve"> This showed that Texas is the state with the highest discounts</w:t>
      </w:r>
      <w:r w:rsidR="006818F3">
        <w:rPr>
          <w:color w:val="000000" w:themeColor="text1"/>
        </w:rPr>
        <w:t xml:space="preserve"> so discounts could be a possible cause.</w:t>
      </w:r>
    </w:p>
    <w:p w14:paraId="76877BD1" w14:textId="77777777" w:rsidR="00620595" w:rsidRPr="00826C88" w:rsidRDefault="00620595"/>
    <w:p w14:paraId="5B67B9FA" w14:textId="39FA9A1C" w:rsidR="00643046" w:rsidRPr="00826C88" w:rsidRDefault="000F708A">
      <w:r>
        <w:rPr>
          <w:noProof/>
        </w:rPr>
        <w:drawing>
          <wp:inline distT="0" distB="0" distL="0" distR="0" wp14:anchorId="5DF6E8CE" wp14:editId="29926441">
            <wp:extent cx="5514976" cy="4352926"/>
            <wp:effectExtent l="0" t="0" r="9525" b="9525"/>
            <wp:docPr id="1066439696" name="Chart 1" descr="Chart type: Clustered Bar. 'State': Texas has noticeably higher 'Discount'.&#10;&#10;Description automatically generated">
              <a:extLst xmlns:a="http://schemas.openxmlformats.org/drawingml/2006/main">
                <a:ext uri="{FF2B5EF4-FFF2-40B4-BE49-F238E27FC236}">
                  <a16:creationId xmlns:a16="http://schemas.microsoft.com/office/drawing/2014/main" id="{C4F5FD2A-4A55-BE8F-1234-0E6746E436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A353420" w14:textId="436664B5" w:rsidR="00620595" w:rsidRPr="00826C88" w:rsidRDefault="001A031C">
      <w:r w:rsidRPr="00826C88">
        <w:t xml:space="preserve">I then </w:t>
      </w:r>
      <w:r w:rsidR="00BD2EC7">
        <w:t xml:space="preserve">created a table for the product associated with the biggest </w:t>
      </w:r>
      <w:r w:rsidR="001F402F" w:rsidRPr="00826C88">
        <w:t>loss for Texas</w:t>
      </w:r>
      <w:r w:rsidR="00F31CC3">
        <w:t xml:space="preserve"> and </w:t>
      </w:r>
      <w:r w:rsidR="001E61D9" w:rsidRPr="00826C88">
        <w:t xml:space="preserve">added additional </w:t>
      </w:r>
      <w:r w:rsidR="003D1DF9" w:rsidRPr="00826C88">
        <w:t xml:space="preserve">columns to find out what the profit would be, if </w:t>
      </w:r>
      <w:r w:rsidR="00F31CC3">
        <w:t>the</w:t>
      </w:r>
      <w:r w:rsidR="003D1DF9" w:rsidRPr="00826C88">
        <w:t xml:space="preserve"> product </w:t>
      </w:r>
      <w:r w:rsidR="004619BA">
        <w:t>wasn’t</w:t>
      </w:r>
      <w:r w:rsidR="003D1DF9" w:rsidRPr="00826C88">
        <w:t xml:space="preserve"> discounted</w:t>
      </w:r>
      <w:r w:rsidR="001E0963">
        <w:t xml:space="preserve">. </w:t>
      </w:r>
    </w:p>
    <w:p w14:paraId="038967B1" w14:textId="33B608BF" w:rsidR="004C517C" w:rsidRPr="00826C88" w:rsidRDefault="004C517C"/>
    <w:p w14:paraId="1B25F2D1" w14:textId="06712167" w:rsidR="00620595" w:rsidRPr="004619BA" w:rsidRDefault="004619BA">
      <w:pPr>
        <w:rPr>
          <w:b/>
          <w:bCs/>
        </w:rPr>
      </w:pPr>
      <w:r>
        <w:rPr>
          <w:noProof/>
        </w:rPr>
        <w:lastRenderedPageBreak/>
        <w:drawing>
          <wp:inline distT="0" distB="0" distL="0" distR="0" wp14:anchorId="3D1B2537" wp14:editId="7093F37C">
            <wp:extent cx="5044941" cy="1745673"/>
            <wp:effectExtent l="0" t="0" r="0" b="0"/>
            <wp:docPr id="1365021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21075" name="Picture 1" descr="A screenshot of a computer&#10;&#10;Description automatically generated"/>
                    <pic:cNvPicPr/>
                  </pic:nvPicPr>
                  <pic:blipFill rotWithShape="1">
                    <a:blip r:embed="rId15"/>
                    <a:srcRect l="4990" t="27746" r="69822" b="50514"/>
                    <a:stretch/>
                  </pic:blipFill>
                  <pic:spPr bwMode="auto">
                    <a:xfrm>
                      <a:off x="0" y="0"/>
                      <a:ext cx="5085522" cy="1759715"/>
                    </a:xfrm>
                    <a:prstGeom prst="rect">
                      <a:avLst/>
                    </a:prstGeom>
                    <a:ln>
                      <a:noFill/>
                    </a:ln>
                    <a:extLst>
                      <a:ext uri="{53640926-AAD7-44D8-BBD7-CCE9431645EC}">
                        <a14:shadowObscured xmlns:a14="http://schemas.microsoft.com/office/drawing/2010/main"/>
                      </a:ext>
                    </a:extLst>
                  </pic:spPr>
                </pic:pic>
              </a:graphicData>
            </a:graphic>
          </wp:inline>
        </w:drawing>
      </w:r>
    </w:p>
    <w:p w14:paraId="6943C670" w14:textId="77777777" w:rsidR="00620595" w:rsidRPr="00826C88" w:rsidRDefault="00620595"/>
    <w:p w14:paraId="118D5B62" w14:textId="61D8015B" w:rsidR="0034658D" w:rsidRDefault="001E0963">
      <w:r>
        <w:t xml:space="preserve">Even without the discount, it </w:t>
      </w:r>
      <w:r w:rsidRPr="00826C88">
        <w:t>still resulted in a loss</w:t>
      </w:r>
      <w:r>
        <w:t>, meaning removing the discount wouldn’t help on its own; increased price is needed as well.</w:t>
      </w:r>
      <w:r w:rsidRPr="00826C88">
        <w:t xml:space="preserve"> </w:t>
      </w:r>
      <w:r>
        <w:t>Thus, I calculated the new minimum price needed for the product to go into profitability and it was much larger than both the discounted price and original price so it wouldn’t be feasible to increase prices this drastically just to make the product profitable. Therefore, it’s best to avoid selling in these states.</w:t>
      </w:r>
    </w:p>
    <w:p w14:paraId="754999CE" w14:textId="239E5A31" w:rsidR="0034658D" w:rsidRDefault="0034658D">
      <w:r>
        <w:t>Following on from this I wanted to create a what if scenario for increasing discounts to see what would happen to the loss of sales. This showed that with increasing discount there’s more loss.</w:t>
      </w:r>
    </w:p>
    <w:p w14:paraId="4C7EEDF6" w14:textId="088BB7C9" w:rsidR="0034658D" w:rsidRPr="00826C88" w:rsidRDefault="0034658D">
      <w:r>
        <w:rPr>
          <w:noProof/>
        </w:rPr>
        <w:drawing>
          <wp:inline distT="0" distB="0" distL="0" distR="0" wp14:anchorId="731648B2" wp14:editId="2818FE14">
            <wp:extent cx="5095240" cy="952500"/>
            <wp:effectExtent l="0" t="0" r="0" b="0"/>
            <wp:docPr id="2120305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05443" name="Picture 1" descr="A screenshot of a computer&#10;&#10;Description automatically generated"/>
                    <pic:cNvPicPr/>
                  </pic:nvPicPr>
                  <pic:blipFill rotWithShape="1">
                    <a:blip r:embed="rId16"/>
                    <a:srcRect l="5161" t="28075" r="68692" b="59703"/>
                    <a:stretch/>
                  </pic:blipFill>
                  <pic:spPr bwMode="auto">
                    <a:xfrm>
                      <a:off x="0" y="0"/>
                      <a:ext cx="5102770" cy="953908"/>
                    </a:xfrm>
                    <a:prstGeom prst="rect">
                      <a:avLst/>
                    </a:prstGeom>
                    <a:ln>
                      <a:noFill/>
                    </a:ln>
                    <a:extLst>
                      <a:ext uri="{53640926-AAD7-44D8-BBD7-CCE9431645EC}">
                        <a14:shadowObscured xmlns:a14="http://schemas.microsoft.com/office/drawing/2010/main"/>
                      </a:ext>
                    </a:extLst>
                  </pic:spPr>
                </pic:pic>
              </a:graphicData>
            </a:graphic>
          </wp:inline>
        </w:drawing>
      </w:r>
    </w:p>
    <w:p w14:paraId="7180162F" w14:textId="77777777" w:rsidR="0034658D" w:rsidRDefault="0034658D"/>
    <w:p w14:paraId="328FDB07" w14:textId="0CF6C213" w:rsidR="00F32F87" w:rsidRDefault="00F32F87">
      <w:r>
        <w:t>Following on from this, I wanted to look at what discount tends to be the most profitable, so I created a pivot table for the profits and losses for each discount. As expected, the biggest profit is made when there 0 discount. Profit is also made when discount is 20%. However, discounts any higher than 20% start to result in loss.</w:t>
      </w:r>
    </w:p>
    <w:p w14:paraId="63A0DEC7" w14:textId="77777777" w:rsidR="00F32F87" w:rsidRDefault="00F32F87"/>
    <w:p w14:paraId="4235BAF2" w14:textId="58D1F8CB" w:rsidR="00F32F87" w:rsidRPr="00826C88" w:rsidRDefault="00F65112">
      <w:r>
        <w:rPr>
          <w:noProof/>
        </w:rPr>
        <w:drawing>
          <wp:inline distT="0" distB="0" distL="0" distR="0" wp14:anchorId="0A4279FD" wp14:editId="3FAA7059">
            <wp:extent cx="4572000" cy="2743200"/>
            <wp:effectExtent l="0" t="0" r="0" b="0"/>
            <wp:docPr id="1594830137" name="Chart 1">
              <a:extLst xmlns:a="http://schemas.openxmlformats.org/drawingml/2006/main">
                <a:ext uri="{FF2B5EF4-FFF2-40B4-BE49-F238E27FC236}">
                  <a16:creationId xmlns:a16="http://schemas.microsoft.com/office/drawing/2014/main" id="{7DC158C1-3514-5A45-46DA-29588C123F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0B0B046" w14:textId="77777777" w:rsidR="0034658D" w:rsidRPr="00F32F87" w:rsidRDefault="0034658D" w:rsidP="0034658D">
      <w:pPr>
        <w:rPr>
          <w:color w:val="4472C4" w:themeColor="accent1"/>
        </w:rPr>
      </w:pPr>
      <w:r w:rsidRPr="00F32F87">
        <w:rPr>
          <w:color w:val="4472C4" w:themeColor="accent1"/>
        </w:rPr>
        <w:lastRenderedPageBreak/>
        <w:t>Suggestion</w:t>
      </w:r>
      <w:r>
        <w:rPr>
          <w:color w:val="4472C4" w:themeColor="accent1"/>
        </w:rPr>
        <w:t xml:space="preserve"> 4</w:t>
      </w:r>
      <w:r w:rsidRPr="00F32F87">
        <w:rPr>
          <w:color w:val="4472C4" w:themeColor="accent1"/>
        </w:rPr>
        <w:t>: Don’t offer any more than 20% discount on any products.</w:t>
      </w:r>
    </w:p>
    <w:p w14:paraId="25675701" w14:textId="77777777" w:rsidR="0034658D" w:rsidRDefault="0034658D" w:rsidP="0034658D"/>
    <w:p w14:paraId="16DA55CB" w14:textId="5F02D619" w:rsidR="00620595" w:rsidRDefault="00A82A75">
      <w:r>
        <w:t xml:space="preserve">I then wanted to look at the </w:t>
      </w:r>
      <w:r w:rsidR="00830E30">
        <w:t xml:space="preserve">profits and sales for each category and </w:t>
      </w:r>
      <w:proofErr w:type="gramStart"/>
      <w:r w:rsidR="00830E30">
        <w:t>subcategory</w:t>
      </w:r>
      <w:proofErr w:type="gramEnd"/>
      <w:r w:rsidR="00830E30">
        <w:t xml:space="preserve"> so I created a pivot tables for this. </w:t>
      </w:r>
      <w:r w:rsidR="00D84552">
        <w:t xml:space="preserve">This showed that technology is the most profitable category with </w:t>
      </w:r>
      <w:r w:rsidR="00E33643">
        <w:t xml:space="preserve">copiers being </w:t>
      </w:r>
      <w:r w:rsidR="00CD7311">
        <w:t xml:space="preserve">the most profitable subcategory. </w:t>
      </w:r>
      <w:r w:rsidR="00102D06">
        <w:t xml:space="preserve">On the other </w:t>
      </w:r>
      <w:proofErr w:type="gramStart"/>
      <w:r w:rsidR="00102D06">
        <w:t>hand</w:t>
      </w:r>
      <w:proofErr w:type="gramEnd"/>
      <w:r w:rsidR="00102D06">
        <w:t xml:space="preserve"> Furniture is the least profitable </w:t>
      </w:r>
      <w:r w:rsidR="004542A3">
        <w:t>category with tables being the least profitable subcategory.</w:t>
      </w:r>
      <w:r w:rsidR="00D84838">
        <w:t xml:space="preserve"> Additionally, although copiers had the highest profits, it had </w:t>
      </w:r>
      <w:r w:rsidR="00A9304D">
        <w:t xml:space="preserve">it did not have the highest sales. This means that it would be a great area to focus increasing sales in as it would </w:t>
      </w:r>
      <w:proofErr w:type="gramStart"/>
      <w:r w:rsidR="00A9304D">
        <w:t>actually result</w:t>
      </w:r>
      <w:proofErr w:type="gramEnd"/>
      <w:r w:rsidR="00A9304D">
        <w:t xml:space="preserve"> in profit. </w:t>
      </w:r>
    </w:p>
    <w:p w14:paraId="41EB4E50" w14:textId="77777777" w:rsidR="00A9304D" w:rsidRDefault="00A9304D"/>
    <w:p w14:paraId="27B47A55" w14:textId="6AD9DC3B" w:rsidR="00D54DB5" w:rsidRPr="000B296F" w:rsidRDefault="00D54DB5" w:rsidP="00D54DB5">
      <w:pPr>
        <w:rPr>
          <w:color w:val="4472C4" w:themeColor="accent1"/>
        </w:rPr>
      </w:pPr>
      <w:r w:rsidRPr="000B296F">
        <w:rPr>
          <w:color w:val="4472C4" w:themeColor="accent1"/>
        </w:rPr>
        <w:t xml:space="preserve">Suggestion </w:t>
      </w:r>
      <w:r w:rsidR="00F32F87">
        <w:rPr>
          <w:color w:val="4472C4" w:themeColor="accent1"/>
        </w:rPr>
        <w:t>5</w:t>
      </w:r>
      <w:r w:rsidRPr="000B296F">
        <w:rPr>
          <w:color w:val="4472C4" w:themeColor="accent1"/>
        </w:rPr>
        <w:t xml:space="preserve">: Consider encouraging the team to sell more </w:t>
      </w:r>
      <w:r>
        <w:rPr>
          <w:color w:val="4472C4" w:themeColor="accent1"/>
        </w:rPr>
        <w:t xml:space="preserve">products in the technology category, especially in the </w:t>
      </w:r>
      <w:proofErr w:type="gramStart"/>
      <w:r w:rsidRPr="000B296F">
        <w:rPr>
          <w:color w:val="4472C4" w:themeColor="accent1"/>
        </w:rPr>
        <w:t>copiers</w:t>
      </w:r>
      <w:proofErr w:type="gramEnd"/>
      <w:r>
        <w:rPr>
          <w:color w:val="4472C4" w:themeColor="accent1"/>
        </w:rPr>
        <w:t xml:space="preserve"> subcategory</w:t>
      </w:r>
      <w:r w:rsidRPr="000B296F">
        <w:rPr>
          <w:color w:val="4472C4" w:themeColor="accent1"/>
        </w:rPr>
        <w:t xml:space="preserve">, order more of them to have in stock, and market and display them better. Also consider not selling tables because although </w:t>
      </w:r>
      <w:r>
        <w:rPr>
          <w:color w:val="4472C4" w:themeColor="accent1"/>
        </w:rPr>
        <w:t>its</w:t>
      </w:r>
      <w:r w:rsidRPr="000B296F">
        <w:rPr>
          <w:color w:val="4472C4" w:themeColor="accent1"/>
        </w:rPr>
        <w:t xml:space="preserve"> sales were impressive, it produced loss for the business.</w:t>
      </w:r>
    </w:p>
    <w:p w14:paraId="263B88E2" w14:textId="44D44997" w:rsidR="000B296F" w:rsidRDefault="006E5499">
      <w:pPr>
        <w:rPr>
          <w:color w:val="4472C4" w:themeColor="accent1"/>
        </w:rPr>
      </w:pPr>
      <w:r>
        <w:rPr>
          <w:noProof/>
        </w:rPr>
        <w:drawing>
          <wp:inline distT="0" distB="0" distL="0" distR="0" wp14:anchorId="1F17F2BC" wp14:editId="68ED8367">
            <wp:extent cx="5140634" cy="2885703"/>
            <wp:effectExtent l="0" t="0" r="0" b="0"/>
            <wp:docPr id="539346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46268" name="Picture 1" descr="A screenshot of a computer&#10;&#10;Description automatically generated"/>
                    <pic:cNvPicPr/>
                  </pic:nvPicPr>
                  <pic:blipFill rotWithShape="1">
                    <a:blip r:embed="rId18"/>
                    <a:srcRect l="5318" t="26392" r="53443" b="15727"/>
                    <a:stretch/>
                  </pic:blipFill>
                  <pic:spPr bwMode="auto">
                    <a:xfrm>
                      <a:off x="0" y="0"/>
                      <a:ext cx="5194561" cy="2915975"/>
                    </a:xfrm>
                    <a:prstGeom prst="rect">
                      <a:avLst/>
                    </a:prstGeom>
                    <a:ln>
                      <a:noFill/>
                    </a:ln>
                    <a:extLst>
                      <a:ext uri="{53640926-AAD7-44D8-BBD7-CCE9431645EC}">
                        <a14:shadowObscured xmlns:a14="http://schemas.microsoft.com/office/drawing/2010/main"/>
                      </a:ext>
                    </a:extLst>
                  </pic:spPr>
                </pic:pic>
              </a:graphicData>
            </a:graphic>
          </wp:inline>
        </w:drawing>
      </w:r>
    </w:p>
    <w:p w14:paraId="2362B340" w14:textId="77777777" w:rsidR="00984048" w:rsidRDefault="00984048">
      <w:pPr>
        <w:rPr>
          <w:color w:val="4472C4" w:themeColor="accent1"/>
        </w:rPr>
      </w:pPr>
    </w:p>
    <w:p w14:paraId="774482D2" w14:textId="2C8081B7" w:rsidR="00984048" w:rsidRDefault="000D40C8">
      <w:r>
        <w:t xml:space="preserve">I then wanted to have a look at the </w:t>
      </w:r>
      <w:r w:rsidR="00A943EB">
        <w:t>returns,</w:t>
      </w:r>
      <w:r w:rsidR="00672A47">
        <w:t xml:space="preserve"> so I created a </w:t>
      </w:r>
      <w:r w:rsidR="005D66C4">
        <w:t xml:space="preserve">pivot table </w:t>
      </w:r>
      <w:r w:rsidR="006313FD">
        <w:t xml:space="preserve">of the number of returned products for </w:t>
      </w:r>
      <w:r w:rsidR="0027435E">
        <w:t xml:space="preserve">state, and </w:t>
      </w:r>
      <w:r w:rsidR="00E12474">
        <w:t xml:space="preserve">it corelated with sales (the highest sales states had the highest returns), which </w:t>
      </w:r>
      <w:r w:rsidR="0008456D">
        <w:t xml:space="preserve">makes sense. </w:t>
      </w:r>
      <w:r w:rsidR="001019DF">
        <w:t>I also did the ret</w:t>
      </w:r>
      <w:r w:rsidR="00887C3C">
        <w:t xml:space="preserve">urns for each category and technology, which is the most profitable category also has the lowest returns, which further supports </w:t>
      </w:r>
      <w:r w:rsidR="00D468B8">
        <w:t xml:space="preserve">previous suggestion of focusing sales efforts </w:t>
      </w:r>
      <w:r w:rsidR="002327CD">
        <w:t xml:space="preserve">into tech as </w:t>
      </w:r>
      <w:r w:rsidR="00A943EB">
        <w:t>this confirms that products in tech have high customer satisfaction.</w:t>
      </w:r>
    </w:p>
    <w:p w14:paraId="661783EB" w14:textId="5B7FEA51" w:rsidR="00ED173B" w:rsidRDefault="00ED173B">
      <w:r>
        <w:rPr>
          <w:noProof/>
        </w:rPr>
        <w:drawing>
          <wp:anchor distT="0" distB="0" distL="114300" distR="114300" simplePos="0" relativeHeight="251665408" behindDoc="1" locked="0" layoutInCell="1" allowOverlap="1" wp14:anchorId="6B915A35" wp14:editId="1F651FD1">
            <wp:simplePos x="0" y="0"/>
            <wp:positionH relativeFrom="column">
              <wp:posOffset>2790190</wp:posOffset>
            </wp:positionH>
            <wp:positionV relativeFrom="paragraph">
              <wp:posOffset>6985</wp:posOffset>
            </wp:positionV>
            <wp:extent cx="2925445" cy="966470"/>
            <wp:effectExtent l="0" t="0" r="0" b="0"/>
            <wp:wrapTight wrapText="bothSides">
              <wp:wrapPolygon edited="0">
                <wp:start x="0" y="0"/>
                <wp:lineTo x="0" y="21288"/>
                <wp:lineTo x="21520" y="21288"/>
                <wp:lineTo x="21520" y="0"/>
                <wp:lineTo x="0" y="0"/>
              </wp:wrapPolygon>
            </wp:wrapTight>
            <wp:docPr id="69827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7882" name="Picture 1"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1762" t="29552" r="83829" b="58537"/>
                    <a:stretch/>
                  </pic:blipFill>
                  <pic:spPr bwMode="auto">
                    <a:xfrm>
                      <a:off x="0" y="0"/>
                      <a:ext cx="2925445" cy="966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4A36ADA" wp14:editId="61DE1015">
            <wp:extent cx="2600696" cy="972909"/>
            <wp:effectExtent l="0" t="0" r="0" b="0"/>
            <wp:docPr id="393921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21080" name="Picture 1" descr="A screenshot of a computer&#10;&#10;Description automatically generated"/>
                    <pic:cNvPicPr/>
                  </pic:nvPicPr>
                  <pic:blipFill rotWithShape="1">
                    <a:blip r:embed="rId20"/>
                    <a:srcRect l="1659" t="25972" r="84838" b="61398"/>
                    <a:stretch/>
                  </pic:blipFill>
                  <pic:spPr bwMode="auto">
                    <a:xfrm>
                      <a:off x="0" y="0"/>
                      <a:ext cx="2660541" cy="995297"/>
                    </a:xfrm>
                    <a:prstGeom prst="rect">
                      <a:avLst/>
                    </a:prstGeom>
                    <a:ln>
                      <a:noFill/>
                    </a:ln>
                    <a:extLst>
                      <a:ext uri="{53640926-AAD7-44D8-BBD7-CCE9431645EC}">
                        <a14:shadowObscured xmlns:a14="http://schemas.microsoft.com/office/drawing/2010/main"/>
                      </a:ext>
                    </a:extLst>
                  </pic:spPr>
                </pic:pic>
              </a:graphicData>
            </a:graphic>
          </wp:inline>
        </w:drawing>
      </w:r>
    </w:p>
    <w:p w14:paraId="76E05ECA" w14:textId="0ECF74B6" w:rsidR="00ED173B" w:rsidRDefault="00ED173B"/>
    <w:p w14:paraId="6EC75016" w14:textId="77777777" w:rsidR="0034658D" w:rsidRDefault="0034658D"/>
    <w:p w14:paraId="24C89BB1" w14:textId="08819895" w:rsidR="00FE36C3" w:rsidRPr="00003A1E" w:rsidRDefault="00FE36C3">
      <w:pPr>
        <w:rPr>
          <w:b/>
          <w:bCs/>
          <w:color w:val="4472C4" w:themeColor="accent1"/>
          <w:u w:val="single"/>
        </w:rPr>
      </w:pPr>
      <w:r w:rsidRPr="00003A1E">
        <w:rPr>
          <w:b/>
          <w:bCs/>
          <w:color w:val="4472C4" w:themeColor="accent1"/>
          <w:u w:val="single"/>
        </w:rPr>
        <w:lastRenderedPageBreak/>
        <w:t>Overall summary of suggestions:</w:t>
      </w:r>
    </w:p>
    <w:p w14:paraId="325A461A" w14:textId="00B564E8" w:rsidR="00AD7024" w:rsidRPr="00B976F9" w:rsidRDefault="00AD7024" w:rsidP="00AD7024">
      <w:pPr>
        <w:rPr>
          <w:color w:val="4472C4" w:themeColor="accent1"/>
        </w:rPr>
      </w:pPr>
      <w:r w:rsidRPr="00B976F9">
        <w:rPr>
          <w:color w:val="4472C4" w:themeColor="accent1"/>
        </w:rPr>
        <w:t>Suggestion 1: Increase the sales for canon image CLASS 2200 advanced copier as it’s a profitable product.</w:t>
      </w:r>
      <w:r w:rsidR="00550839" w:rsidRPr="00550839">
        <w:rPr>
          <w:color w:val="4472C4" w:themeColor="accent1"/>
        </w:rPr>
        <w:t xml:space="preserve"> </w:t>
      </w:r>
      <w:r w:rsidR="00550839" w:rsidRPr="000B296F">
        <w:rPr>
          <w:color w:val="4472C4" w:themeColor="accent1"/>
        </w:rPr>
        <w:t xml:space="preserve">Consider encouraging the team to sell more </w:t>
      </w:r>
      <w:r w:rsidR="00550839">
        <w:rPr>
          <w:color w:val="4472C4" w:themeColor="accent1"/>
        </w:rPr>
        <w:t>of them</w:t>
      </w:r>
      <w:r w:rsidR="00550839" w:rsidRPr="000B296F">
        <w:rPr>
          <w:color w:val="4472C4" w:themeColor="accent1"/>
        </w:rPr>
        <w:t>, order more of them to have in stock, and market and display them better.</w:t>
      </w:r>
    </w:p>
    <w:p w14:paraId="18CC4A92" w14:textId="77777777" w:rsidR="00FF6267" w:rsidRPr="00B976F9" w:rsidRDefault="00FF6267" w:rsidP="00FF6267">
      <w:pPr>
        <w:rPr>
          <w:color w:val="4472C4" w:themeColor="accent1"/>
        </w:rPr>
      </w:pPr>
      <w:r w:rsidRPr="00B976F9">
        <w:rPr>
          <w:color w:val="4472C4" w:themeColor="accent1"/>
        </w:rPr>
        <w:t xml:space="preserve">Suggestion 2: Stop selling </w:t>
      </w:r>
      <w:proofErr w:type="spellStart"/>
      <w:r w:rsidRPr="00B976F9">
        <w:rPr>
          <w:color w:val="4472C4" w:themeColor="accent1"/>
        </w:rPr>
        <w:t>cubify</w:t>
      </w:r>
      <w:proofErr w:type="spellEnd"/>
      <w:r w:rsidRPr="00B976F9">
        <w:rPr>
          <w:color w:val="4472C4" w:themeColor="accent1"/>
        </w:rPr>
        <w:t xml:space="preserve"> </w:t>
      </w:r>
      <w:proofErr w:type="spellStart"/>
      <w:r w:rsidRPr="00B976F9">
        <w:rPr>
          <w:color w:val="4472C4" w:themeColor="accent1"/>
        </w:rPr>
        <w:t>cubex</w:t>
      </w:r>
      <w:proofErr w:type="spellEnd"/>
      <w:r w:rsidRPr="00B976F9">
        <w:rPr>
          <w:color w:val="4472C4" w:themeColor="accent1"/>
        </w:rPr>
        <w:t xml:space="preserve"> 3D printer double head print in Ohio.</w:t>
      </w:r>
    </w:p>
    <w:p w14:paraId="36225307" w14:textId="5949A31D" w:rsidR="00B976F9" w:rsidRDefault="00B976F9" w:rsidP="00B976F9">
      <w:pPr>
        <w:rPr>
          <w:color w:val="4472C4" w:themeColor="accent1"/>
        </w:rPr>
      </w:pPr>
      <w:r w:rsidRPr="00B976F9">
        <w:rPr>
          <w:color w:val="4472C4" w:themeColor="accent1"/>
        </w:rPr>
        <w:t>Suggestion 3: Increase sales in California and New York</w:t>
      </w:r>
      <w:r w:rsidR="00C54DB6">
        <w:rPr>
          <w:color w:val="4472C4" w:themeColor="accent1"/>
        </w:rPr>
        <w:t xml:space="preserve">. This could be done by focusing more of the marketing budget for these states, </w:t>
      </w:r>
      <w:r w:rsidR="00550839">
        <w:rPr>
          <w:color w:val="4472C4" w:themeColor="accent1"/>
        </w:rPr>
        <w:t xml:space="preserve">by shipping </w:t>
      </w:r>
      <w:r w:rsidR="00013DE5">
        <w:rPr>
          <w:color w:val="4472C4" w:themeColor="accent1"/>
        </w:rPr>
        <w:t>more products to these states</w:t>
      </w:r>
      <w:r w:rsidR="00FB4D6F">
        <w:rPr>
          <w:color w:val="4472C4" w:themeColor="accent1"/>
        </w:rPr>
        <w:t xml:space="preserve">, expanding the sales </w:t>
      </w:r>
      <w:r w:rsidR="008704B6">
        <w:rPr>
          <w:color w:val="4472C4" w:themeColor="accent1"/>
        </w:rPr>
        <w:t xml:space="preserve">team in these states etc. </w:t>
      </w:r>
      <w:r w:rsidR="00497300">
        <w:rPr>
          <w:color w:val="4472C4" w:themeColor="accent1"/>
        </w:rPr>
        <w:t xml:space="preserve">On the other </w:t>
      </w:r>
      <w:proofErr w:type="gramStart"/>
      <w:r w:rsidR="00497300">
        <w:rPr>
          <w:color w:val="4472C4" w:themeColor="accent1"/>
        </w:rPr>
        <w:t>hand</w:t>
      </w:r>
      <w:proofErr w:type="gramEnd"/>
      <w:r w:rsidRPr="00B976F9">
        <w:rPr>
          <w:color w:val="4472C4" w:themeColor="accent1"/>
        </w:rPr>
        <w:t xml:space="preserve"> consider not selling in states like Texas and Ohio.</w:t>
      </w:r>
    </w:p>
    <w:p w14:paraId="4C022D6B" w14:textId="77DEF87F" w:rsidR="00F32F87" w:rsidRPr="00B976F9" w:rsidRDefault="00F32F87" w:rsidP="00B976F9">
      <w:pPr>
        <w:rPr>
          <w:color w:val="4472C4" w:themeColor="accent1"/>
        </w:rPr>
      </w:pPr>
      <w:r w:rsidRPr="00F32F87">
        <w:rPr>
          <w:color w:val="4472C4" w:themeColor="accent1"/>
        </w:rPr>
        <w:t>Suggestion</w:t>
      </w:r>
      <w:r>
        <w:rPr>
          <w:color w:val="4472C4" w:themeColor="accent1"/>
        </w:rPr>
        <w:t xml:space="preserve"> 4</w:t>
      </w:r>
      <w:r w:rsidRPr="00F32F87">
        <w:rPr>
          <w:color w:val="4472C4" w:themeColor="accent1"/>
        </w:rPr>
        <w:t>: Don’t offer any more than 20% discount on any products</w:t>
      </w:r>
      <w:r>
        <w:rPr>
          <w:color w:val="4472C4" w:themeColor="accent1"/>
        </w:rPr>
        <w:t xml:space="preserve"> as this tends to result in a loss.</w:t>
      </w:r>
    </w:p>
    <w:p w14:paraId="7A8E4576" w14:textId="45BCDCA0" w:rsidR="000B296F" w:rsidRPr="000B296F" w:rsidRDefault="000B296F" w:rsidP="000B296F">
      <w:pPr>
        <w:rPr>
          <w:color w:val="4472C4" w:themeColor="accent1"/>
        </w:rPr>
      </w:pPr>
      <w:r w:rsidRPr="000B296F">
        <w:rPr>
          <w:color w:val="4472C4" w:themeColor="accent1"/>
        </w:rPr>
        <w:t xml:space="preserve">Suggestion </w:t>
      </w:r>
      <w:r w:rsidR="00F32F87">
        <w:rPr>
          <w:color w:val="4472C4" w:themeColor="accent1"/>
        </w:rPr>
        <w:t>5</w:t>
      </w:r>
      <w:r w:rsidRPr="000B296F">
        <w:rPr>
          <w:color w:val="4472C4" w:themeColor="accent1"/>
        </w:rPr>
        <w:t xml:space="preserve">: Consider encouraging the team to sell more </w:t>
      </w:r>
      <w:r w:rsidR="00382078">
        <w:rPr>
          <w:color w:val="4472C4" w:themeColor="accent1"/>
        </w:rPr>
        <w:t xml:space="preserve">products in the technology category, especially in the </w:t>
      </w:r>
      <w:proofErr w:type="gramStart"/>
      <w:r w:rsidRPr="000B296F">
        <w:rPr>
          <w:color w:val="4472C4" w:themeColor="accent1"/>
        </w:rPr>
        <w:t>copiers</w:t>
      </w:r>
      <w:proofErr w:type="gramEnd"/>
      <w:r w:rsidR="00382078">
        <w:rPr>
          <w:color w:val="4472C4" w:themeColor="accent1"/>
        </w:rPr>
        <w:t xml:space="preserve"> subcategory</w:t>
      </w:r>
      <w:r w:rsidRPr="000B296F">
        <w:rPr>
          <w:color w:val="4472C4" w:themeColor="accent1"/>
        </w:rPr>
        <w:t xml:space="preserve">, order more of them to have in stock, and market and display them better. Also consider not selling tables because although </w:t>
      </w:r>
      <w:r w:rsidR="008704B6">
        <w:rPr>
          <w:color w:val="4472C4" w:themeColor="accent1"/>
        </w:rPr>
        <w:t>its</w:t>
      </w:r>
      <w:r w:rsidRPr="000B296F">
        <w:rPr>
          <w:color w:val="4472C4" w:themeColor="accent1"/>
        </w:rPr>
        <w:t xml:space="preserve"> sales were impressive, it produced loss for the business.</w:t>
      </w:r>
    </w:p>
    <w:p w14:paraId="4EBF2736" w14:textId="77777777" w:rsidR="00FF6267" w:rsidRPr="003D3E22" w:rsidRDefault="00FF6267" w:rsidP="00AD7024">
      <w:pPr>
        <w:rPr>
          <w:color w:val="FF0000"/>
        </w:rPr>
      </w:pPr>
    </w:p>
    <w:p w14:paraId="38DDDC54" w14:textId="77777777" w:rsidR="00AD7024" w:rsidRPr="00826C88" w:rsidRDefault="00AD7024"/>
    <w:sectPr w:rsidR="00AD7024" w:rsidRPr="00826C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1F3"/>
    <w:rsid w:val="00003A1E"/>
    <w:rsid w:val="00003FD1"/>
    <w:rsid w:val="0000656F"/>
    <w:rsid w:val="00013DE5"/>
    <w:rsid w:val="00015CC2"/>
    <w:rsid w:val="00034660"/>
    <w:rsid w:val="000353F4"/>
    <w:rsid w:val="000435EC"/>
    <w:rsid w:val="0008456D"/>
    <w:rsid w:val="00091AAE"/>
    <w:rsid w:val="00095112"/>
    <w:rsid w:val="000A5F53"/>
    <w:rsid w:val="000B296F"/>
    <w:rsid w:val="000B3A2D"/>
    <w:rsid w:val="000D40C8"/>
    <w:rsid w:val="000D53C2"/>
    <w:rsid w:val="000F04FB"/>
    <w:rsid w:val="000F1521"/>
    <w:rsid w:val="000F708A"/>
    <w:rsid w:val="001019DF"/>
    <w:rsid w:val="00102D06"/>
    <w:rsid w:val="00105296"/>
    <w:rsid w:val="001163AC"/>
    <w:rsid w:val="00116406"/>
    <w:rsid w:val="00120175"/>
    <w:rsid w:val="00125E59"/>
    <w:rsid w:val="00127EB2"/>
    <w:rsid w:val="00163FF0"/>
    <w:rsid w:val="00164C1A"/>
    <w:rsid w:val="00187F39"/>
    <w:rsid w:val="001A031C"/>
    <w:rsid w:val="001C17A7"/>
    <w:rsid w:val="001D23F2"/>
    <w:rsid w:val="001D52F6"/>
    <w:rsid w:val="001D5BA5"/>
    <w:rsid w:val="001E0963"/>
    <w:rsid w:val="001E61D9"/>
    <w:rsid w:val="001F402F"/>
    <w:rsid w:val="002327CD"/>
    <w:rsid w:val="00236198"/>
    <w:rsid w:val="00240659"/>
    <w:rsid w:val="00263DD2"/>
    <w:rsid w:val="0027435E"/>
    <w:rsid w:val="002866A2"/>
    <w:rsid w:val="00297B10"/>
    <w:rsid w:val="002A6C50"/>
    <w:rsid w:val="002B04F4"/>
    <w:rsid w:val="002B4475"/>
    <w:rsid w:val="002D4955"/>
    <w:rsid w:val="002D5686"/>
    <w:rsid w:val="002E6E68"/>
    <w:rsid w:val="002F2E85"/>
    <w:rsid w:val="002F3176"/>
    <w:rsid w:val="003042D3"/>
    <w:rsid w:val="003055AB"/>
    <w:rsid w:val="00305CA9"/>
    <w:rsid w:val="00317360"/>
    <w:rsid w:val="0032361C"/>
    <w:rsid w:val="003259FE"/>
    <w:rsid w:val="003277FD"/>
    <w:rsid w:val="0034658D"/>
    <w:rsid w:val="0035068A"/>
    <w:rsid w:val="00367774"/>
    <w:rsid w:val="00380E2C"/>
    <w:rsid w:val="00382078"/>
    <w:rsid w:val="003A0AC9"/>
    <w:rsid w:val="003B1773"/>
    <w:rsid w:val="003B3716"/>
    <w:rsid w:val="003B3BFA"/>
    <w:rsid w:val="003D1048"/>
    <w:rsid w:val="003D1DF9"/>
    <w:rsid w:val="003D3E22"/>
    <w:rsid w:val="003D780A"/>
    <w:rsid w:val="003D793D"/>
    <w:rsid w:val="00415F55"/>
    <w:rsid w:val="004230CC"/>
    <w:rsid w:val="00434C7B"/>
    <w:rsid w:val="0043790C"/>
    <w:rsid w:val="00437DC6"/>
    <w:rsid w:val="004542A3"/>
    <w:rsid w:val="004619BA"/>
    <w:rsid w:val="00463198"/>
    <w:rsid w:val="00472B4A"/>
    <w:rsid w:val="00475572"/>
    <w:rsid w:val="00476598"/>
    <w:rsid w:val="00484C2F"/>
    <w:rsid w:val="00490347"/>
    <w:rsid w:val="0049629E"/>
    <w:rsid w:val="00497300"/>
    <w:rsid w:val="00497D17"/>
    <w:rsid w:val="004B10C3"/>
    <w:rsid w:val="004B34E5"/>
    <w:rsid w:val="004B64F1"/>
    <w:rsid w:val="004C4798"/>
    <w:rsid w:val="004C517C"/>
    <w:rsid w:val="00547E39"/>
    <w:rsid w:val="00550839"/>
    <w:rsid w:val="005512EF"/>
    <w:rsid w:val="005649EF"/>
    <w:rsid w:val="005766DA"/>
    <w:rsid w:val="00582BD1"/>
    <w:rsid w:val="00584B29"/>
    <w:rsid w:val="00587D48"/>
    <w:rsid w:val="005A0F89"/>
    <w:rsid w:val="005B6809"/>
    <w:rsid w:val="005B7A45"/>
    <w:rsid w:val="005D6427"/>
    <w:rsid w:val="005D66C4"/>
    <w:rsid w:val="005D6F0A"/>
    <w:rsid w:val="005E0FFD"/>
    <w:rsid w:val="005E243B"/>
    <w:rsid w:val="00605BD6"/>
    <w:rsid w:val="00617CC0"/>
    <w:rsid w:val="0062053C"/>
    <w:rsid w:val="00620595"/>
    <w:rsid w:val="006313FD"/>
    <w:rsid w:val="00636EDC"/>
    <w:rsid w:val="00643046"/>
    <w:rsid w:val="0065559B"/>
    <w:rsid w:val="00665DFE"/>
    <w:rsid w:val="00667385"/>
    <w:rsid w:val="006715F7"/>
    <w:rsid w:val="00672A47"/>
    <w:rsid w:val="00677A0D"/>
    <w:rsid w:val="006818F3"/>
    <w:rsid w:val="006946A7"/>
    <w:rsid w:val="006A40F2"/>
    <w:rsid w:val="006C201B"/>
    <w:rsid w:val="006C6AC4"/>
    <w:rsid w:val="006E26A0"/>
    <w:rsid w:val="006E5499"/>
    <w:rsid w:val="007419FB"/>
    <w:rsid w:val="00753295"/>
    <w:rsid w:val="007600D7"/>
    <w:rsid w:val="00766E6A"/>
    <w:rsid w:val="007672CF"/>
    <w:rsid w:val="00793FCF"/>
    <w:rsid w:val="00796189"/>
    <w:rsid w:val="007A2596"/>
    <w:rsid w:val="007A72E9"/>
    <w:rsid w:val="007A7821"/>
    <w:rsid w:val="007C4D58"/>
    <w:rsid w:val="007C5FAD"/>
    <w:rsid w:val="007C6BA3"/>
    <w:rsid w:val="007E003B"/>
    <w:rsid w:val="007E5564"/>
    <w:rsid w:val="007F7CD7"/>
    <w:rsid w:val="00805A9C"/>
    <w:rsid w:val="00822D85"/>
    <w:rsid w:val="008239F3"/>
    <w:rsid w:val="00826C88"/>
    <w:rsid w:val="00830E30"/>
    <w:rsid w:val="00834811"/>
    <w:rsid w:val="00842BF8"/>
    <w:rsid w:val="0085573D"/>
    <w:rsid w:val="008704B6"/>
    <w:rsid w:val="008705A1"/>
    <w:rsid w:val="008772E2"/>
    <w:rsid w:val="008879D6"/>
    <w:rsid w:val="00887C3C"/>
    <w:rsid w:val="008931F3"/>
    <w:rsid w:val="008A1DE6"/>
    <w:rsid w:val="008A7C0E"/>
    <w:rsid w:val="008C1C08"/>
    <w:rsid w:val="008C656F"/>
    <w:rsid w:val="008F6813"/>
    <w:rsid w:val="00903CAE"/>
    <w:rsid w:val="00910492"/>
    <w:rsid w:val="00910A88"/>
    <w:rsid w:val="00927ED1"/>
    <w:rsid w:val="009824F4"/>
    <w:rsid w:val="00984048"/>
    <w:rsid w:val="009843E4"/>
    <w:rsid w:val="00984E08"/>
    <w:rsid w:val="00996983"/>
    <w:rsid w:val="009A4983"/>
    <w:rsid w:val="009A6319"/>
    <w:rsid w:val="009B233F"/>
    <w:rsid w:val="009F5133"/>
    <w:rsid w:val="00A07FB3"/>
    <w:rsid w:val="00A361B6"/>
    <w:rsid w:val="00A434EB"/>
    <w:rsid w:val="00A60FAE"/>
    <w:rsid w:val="00A67674"/>
    <w:rsid w:val="00A67C0E"/>
    <w:rsid w:val="00A82A75"/>
    <w:rsid w:val="00A83DF9"/>
    <w:rsid w:val="00A869B3"/>
    <w:rsid w:val="00A928AC"/>
    <w:rsid w:val="00A9304D"/>
    <w:rsid w:val="00A9403D"/>
    <w:rsid w:val="00A943EB"/>
    <w:rsid w:val="00AB0F7A"/>
    <w:rsid w:val="00AB1CE0"/>
    <w:rsid w:val="00AD7024"/>
    <w:rsid w:val="00AF7CAD"/>
    <w:rsid w:val="00B02F2B"/>
    <w:rsid w:val="00B3224A"/>
    <w:rsid w:val="00B37049"/>
    <w:rsid w:val="00B62E7E"/>
    <w:rsid w:val="00B6712D"/>
    <w:rsid w:val="00B7456C"/>
    <w:rsid w:val="00B75C0D"/>
    <w:rsid w:val="00B83E0E"/>
    <w:rsid w:val="00B85607"/>
    <w:rsid w:val="00B87EB2"/>
    <w:rsid w:val="00B90ECC"/>
    <w:rsid w:val="00B95010"/>
    <w:rsid w:val="00B9663A"/>
    <w:rsid w:val="00B976F9"/>
    <w:rsid w:val="00BA2BD3"/>
    <w:rsid w:val="00BA320E"/>
    <w:rsid w:val="00BD2EC7"/>
    <w:rsid w:val="00BD37B1"/>
    <w:rsid w:val="00BD3DDE"/>
    <w:rsid w:val="00BE0F88"/>
    <w:rsid w:val="00C13D49"/>
    <w:rsid w:val="00C2531D"/>
    <w:rsid w:val="00C37F21"/>
    <w:rsid w:val="00C415E5"/>
    <w:rsid w:val="00C454C9"/>
    <w:rsid w:val="00C47B9C"/>
    <w:rsid w:val="00C54DB6"/>
    <w:rsid w:val="00C823BD"/>
    <w:rsid w:val="00C902ED"/>
    <w:rsid w:val="00C9662A"/>
    <w:rsid w:val="00CA79EC"/>
    <w:rsid w:val="00CB2A85"/>
    <w:rsid w:val="00CD574D"/>
    <w:rsid w:val="00CD7311"/>
    <w:rsid w:val="00CF6D9C"/>
    <w:rsid w:val="00D1087A"/>
    <w:rsid w:val="00D16D35"/>
    <w:rsid w:val="00D371B9"/>
    <w:rsid w:val="00D44F6D"/>
    <w:rsid w:val="00D468B8"/>
    <w:rsid w:val="00D534A3"/>
    <w:rsid w:val="00D54DB5"/>
    <w:rsid w:val="00D62837"/>
    <w:rsid w:val="00D659B7"/>
    <w:rsid w:val="00D82FBA"/>
    <w:rsid w:val="00D84552"/>
    <w:rsid w:val="00D84838"/>
    <w:rsid w:val="00D938D4"/>
    <w:rsid w:val="00DB1207"/>
    <w:rsid w:val="00DC1639"/>
    <w:rsid w:val="00DC75A6"/>
    <w:rsid w:val="00DE6B84"/>
    <w:rsid w:val="00E12474"/>
    <w:rsid w:val="00E265C3"/>
    <w:rsid w:val="00E30008"/>
    <w:rsid w:val="00E32BF9"/>
    <w:rsid w:val="00E33643"/>
    <w:rsid w:val="00E34FE4"/>
    <w:rsid w:val="00E62426"/>
    <w:rsid w:val="00E63493"/>
    <w:rsid w:val="00E674D1"/>
    <w:rsid w:val="00E70636"/>
    <w:rsid w:val="00E77F44"/>
    <w:rsid w:val="00EB016C"/>
    <w:rsid w:val="00EB03C2"/>
    <w:rsid w:val="00EB6E8E"/>
    <w:rsid w:val="00EC5C33"/>
    <w:rsid w:val="00ED173B"/>
    <w:rsid w:val="00ED1DA9"/>
    <w:rsid w:val="00ED4F53"/>
    <w:rsid w:val="00ED69A8"/>
    <w:rsid w:val="00EE29F3"/>
    <w:rsid w:val="00EE6637"/>
    <w:rsid w:val="00EF708E"/>
    <w:rsid w:val="00F03955"/>
    <w:rsid w:val="00F078CB"/>
    <w:rsid w:val="00F179E0"/>
    <w:rsid w:val="00F21DC8"/>
    <w:rsid w:val="00F31CC3"/>
    <w:rsid w:val="00F32F87"/>
    <w:rsid w:val="00F46328"/>
    <w:rsid w:val="00F65112"/>
    <w:rsid w:val="00F8252C"/>
    <w:rsid w:val="00F96C73"/>
    <w:rsid w:val="00FA1ED7"/>
    <w:rsid w:val="00FB4D6F"/>
    <w:rsid w:val="00FB7EF5"/>
    <w:rsid w:val="00FC0ABD"/>
    <w:rsid w:val="00FC36CF"/>
    <w:rsid w:val="00FE175C"/>
    <w:rsid w:val="00FE19AE"/>
    <w:rsid w:val="00FE36C3"/>
    <w:rsid w:val="00FE63DC"/>
    <w:rsid w:val="00FF62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1418C"/>
  <w15:chartTrackingRefBased/>
  <w15:docId w15:val="{4A8387E3-7FD2-47B0-83EF-DE05686FF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2313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4.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chart" Target="charts/chart3.xml"/><Relationship Id="rId17" Type="http://schemas.openxmlformats.org/officeDocument/2006/relationships/chart" Target="charts/chart6.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chart" Target="charts/chart2.xml"/><Relationship Id="rId14" Type="http://schemas.openxmlformats.org/officeDocument/2006/relationships/chart" Target="charts/chart5.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beigi\Documents\excel%20assessmen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beigi\Documents\excel%20assessmen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beigi\Documents\excel%20assessmen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fbeigi\Documents\excel%20assessmen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fbeigi\Documents\excel%20assessmen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fbeigi\Documents\excel%20assessment%20draft8.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[excel assessment draft1.xlsx]profitsforproduct&amp;ID!PivotTable28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kern="1200" spc="0" baseline="0">
                <a:solidFill>
                  <a:schemeClr val="tx1"/>
                </a:solidFill>
              </a:rPr>
              <a:t>Amount of profit for each product ID (Top 12)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pivotFmt>
      <c:pivotFmt>
        <c:idx val="13"/>
        <c:spPr>
          <a:solidFill>
            <a:schemeClr val="accent1"/>
          </a:solidFill>
          <a:ln w="19050">
            <a:solidFill>
              <a:schemeClr val="lt1"/>
            </a:solidFill>
          </a:ln>
          <a:effectLst/>
        </c:spPr>
      </c:pivotFmt>
      <c:pivotFmt>
        <c:idx val="14"/>
        <c:spPr>
          <a:solidFill>
            <a:schemeClr val="accent1"/>
          </a:solidFill>
          <a:ln w="19050">
            <a:solidFill>
              <a:schemeClr val="lt1"/>
            </a:solidFill>
          </a:ln>
          <a:effectLst/>
        </c:spPr>
      </c:pivotFmt>
      <c:pivotFmt>
        <c:idx val="15"/>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rgbClr val="22FE47"/>
          </a:solidFill>
          <a:ln w="19050">
            <a:solidFill>
              <a:schemeClr val="tx1"/>
            </a:solidFill>
          </a:ln>
          <a:effectLst/>
        </c:spPr>
      </c:pivotFmt>
      <c:pivotFmt>
        <c:idx val="17"/>
        <c:spPr>
          <a:solidFill>
            <a:schemeClr val="accent1"/>
          </a:solidFill>
          <a:ln w="19050">
            <a:solidFill>
              <a:schemeClr val="lt1"/>
            </a:solidFill>
          </a:ln>
          <a:effectLst/>
        </c:spPr>
      </c:pivotFmt>
      <c:pivotFmt>
        <c:idx val="18"/>
        <c:spPr>
          <a:solidFill>
            <a:schemeClr val="accent1"/>
          </a:solidFill>
          <a:ln w="19050">
            <a:solidFill>
              <a:schemeClr val="lt1"/>
            </a:solidFill>
          </a:ln>
          <a:effectLst/>
        </c:spPr>
      </c:pivotFmt>
      <c:pivotFmt>
        <c:idx val="19"/>
        <c:spPr>
          <a:solidFill>
            <a:schemeClr val="accent1"/>
          </a:solidFill>
          <a:ln w="19050">
            <a:solidFill>
              <a:schemeClr val="lt1"/>
            </a:solidFill>
          </a:ln>
          <a:effectLst/>
        </c:spPr>
      </c:pivotFmt>
      <c:pivotFmt>
        <c:idx val="20"/>
        <c:spPr>
          <a:solidFill>
            <a:schemeClr val="accent1"/>
          </a:solidFill>
          <a:ln w="19050">
            <a:solidFill>
              <a:schemeClr val="lt1"/>
            </a:solidFill>
          </a:ln>
          <a:effectLst/>
        </c:spPr>
      </c:pivotFmt>
      <c:pivotFmt>
        <c:idx val="21"/>
        <c:spPr>
          <a:solidFill>
            <a:schemeClr val="accent1"/>
          </a:solidFill>
          <a:ln w="19050">
            <a:solidFill>
              <a:schemeClr val="lt1"/>
            </a:solidFill>
          </a:ln>
          <a:effectLst/>
        </c:spPr>
      </c:pivotFmt>
      <c:pivotFmt>
        <c:idx val="22"/>
        <c:spPr>
          <a:solidFill>
            <a:schemeClr val="accent1"/>
          </a:solidFill>
          <a:ln w="19050">
            <a:solidFill>
              <a:schemeClr val="lt1"/>
            </a:solidFill>
          </a:ln>
          <a:effectLst/>
        </c:spPr>
      </c:pivotFmt>
      <c:pivotFmt>
        <c:idx val="23"/>
        <c:spPr>
          <a:solidFill>
            <a:schemeClr val="accent1"/>
          </a:solidFill>
          <a:ln w="19050">
            <a:solidFill>
              <a:schemeClr val="lt1"/>
            </a:solidFill>
          </a:ln>
          <a:effectLst/>
        </c:spPr>
      </c:pivotFmt>
      <c:pivotFmt>
        <c:idx val="24"/>
        <c:spPr>
          <a:solidFill>
            <a:schemeClr val="accent1"/>
          </a:solidFill>
          <a:ln w="19050">
            <a:solidFill>
              <a:schemeClr val="lt1"/>
            </a:solidFill>
          </a:ln>
          <a:effectLst/>
        </c:spPr>
      </c:pivotFmt>
      <c:pivotFmt>
        <c:idx val="25"/>
        <c:spPr>
          <a:solidFill>
            <a:schemeClr val="accent1"/>
          </a:solidFill>
          <a:ln w="19050">
            <a:solidFill>
              <a:schemeClr val="lt1"/>
            </a:solidFill>
          </a:ln>
          <a:effectLst/>
        </c:spPr>
      </c:pivotFmt>
      <c:pivotFmt>
        <c:idx val="26"/>
        <c:spPr>
          <a:solidFill>
            <a:schemeClr val="accent1"/>
          </a:solidFill>
          <a:ln w="19050">
            <a:solidFill>
              <a:schemeClr val="lt1"/>
            </a:solidFill>
          </a:ln>
          <a:effectLst/>
        </c:spPr>
      </c:pivotFmt>
      <c:pivotFmt>
        <c:idx val="27"/>
        <c:spPr>
          <a:solidFill>
            <a:schemeClr val="accent1"/>
          </a:solidFill>
          <a:ln w="19050">
            <a:solidFill>
              <a:schemeClr val="lt1"/>
            </a:solidFill>
          </a:ln>
          <a:effectLst/>
        </c:spPr>
      </c:pivotFmt>
      <c:pivotFmt>
        <c:idx val="28"/>
        <c:spPr>
          <a:solidFill>
            <a:schemeClr val="accent1"/>
          </a:solidFill>
          <a:ln w="19050">
            <a:solidFill>
              <a:schemeClr val="lt1"/>
            </a:solidFill>
          </a:ln>
          <a:effectLst/>
        </c:spPr>
      </c:pivotFmt>
      <c:pivotFmt>
        <c:idx val="29"/>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rgbClr val="22FE47"/>
          </a:solidFill>
          <a:ln w="19050">
            <a:solidFill>
              <a:schemeClr val="tx1"/>
            </a:solidFill>
          </a:ln>
          <a:effectLst/>
        </c:spPr>
      </c:pivotFmt>
      <c:pivotFmt>
        <c:idx val="31"/>
        <c:spPr>
          <a:solidFill>
            <a:schemeClr val="accent1"/>
          </a:solidFill>
          <a:ln w="19050">
            <a:solidFill>
              <a:schemeClr val="lt1"/>
            </a:solidFill>
          </a:ln>
          <a:effectLst/>
        </c:spPr>
      </c:pivotFmt>
      <c:pivotFmt>
        <c:idx val="32"/>
        <c:spPr>
          <a:solidFill>
            <a:schemeClr val="accent1"/>
          </a:solidFill>
          <a:ln w="19050">
            <a:solidFill>
              <a:schemeClr val="lt1"/>
            </a:solidFill>
          </a:ln>
          <a:effectLst/>
        </c:spPr>
      </c:pivotFmt>
      <c:pivotFmt>
        <c:idx val="33"/>
        <c:spPr>
          <a:solidFill>
            <a:schemeClr val="accent1"/>
          </a:solidFill>
          <a:ln w="19050">
            <a:solidFill>
              <a:schemeClr val="lt1"/>
            </a:solidFill>
          </a:ln>
          <a:effectLst/>
        </c:spPr>
      </c:pivotFmt>
      <c:pivotFmt>
        <c:idx val="34"/>
        <c:spPr>
          <a:solidFill>
            <a:schemeClr val="accent1"/>
          </a:solidFill>
          <a:ln w="19050">
            <a:solidFill>
              <a:schemeClr val="lt1"/>
            </a:solidFill>
          </a:ln>
          <a:effectLst/>
        </c:spPr>
      </c:pivotFmt>
      <c:pivotFmt>
        <c:idx val="35"/>
        <c:spPr>
          <a:solidFill>
            <a:schemeClr val="accent1"/>
          </a:solidFill>
          <a:ln w="19050">
            <a:solidFill>
              <a:schemeClr val="lt1"/>
            </a:solidFill>
          </a:ln>
          <a:effectLst/>
        </c:spPr>
      </c:pivotFmt>
      <c:pivotFmt>
        <c:idx val="36"/>
        <c:spPr>
          <a:solidFill>
            <a:schemeClr val="accent1"/>
          </a:solidFill>
          <a:ln w="19050">
            <a:solidFill>
              <a:schemeClr val="lt1"/>
            </a:solidFill>
          </a:ln>
          <a:effectLst/>
        </c:spPr>
      </c:pivotFmt>
      <c:pivotFmt>
        <c:idx val="37"/>
        <c:spPr>
          <a:solidFill>
            <a:schemeClr val="accent1"/>
          </a:solidFill>
          <a:ln w="19050">
            <a:solidFill>
              <a:schemeClr val="lt1"/>
            </a:solidFill>
          </a:ln>
          <a:effectLst/>
        </c:spPr>
      </c:pivotFmt>
      <c:pivotFmt>
        <c:idx val="38"/>
        <c:spPr>
          <a:solidFill>
            <a:schemeClr val="accent1"/>
          </a:solidFill>
          <a:ln w="19050">
            <a:solidFill>
              <a:schemeClr val="lt1"/>
            </a:solidFill>
          </a:ln>
          <a:effectLst/>
        </c:spPr>
      </c:pivotFmt>
      <c:pivotFmt>
        <c:idx val="39"/>
        <c:spPr>
          <a:solidFill>
            <a:schemeClr val="accent1"/>
          </a:solidFill>
          <a:ln w="19050">
            <a:solidFill>
              <a:schemeClr val="lt1"/>
            </a:solidFill>
          </a:ln>
          <a:effectLst/>
        </c:spPr>
      </c:pivotFmt>
      <c:pivotFmt>
        <c:idx val="40"/>
        <c:spPr>
          <a:solidFill>
            <a:schemeClr val="accent1"/>
          </a:solidFill>
          <a:ln w="19050">
            <a:solidFill>
              <a:schemeClr val="lt1"/>
            </a:solidFill>
          </a:ln>
          <a:effectLst/>
        </c:spPr>
      </c:pivotFmt>
      <c:pivotFmt>
        <c:idx val="41"/>
        <c:spPr>
          <a:solidFill>
            <a:schemeClr val="accent1"/>
          </a:solidFill>
          <a:ln w="19050">
            <a:solidFill>
              <a:schemeClr val="lt1"/>
            </a:solidFill>
          </a:ln>
          <a:effectLst/>
        </c:spPr>
      </c:pivotFmt>
      <c:pivotFmt>
        <c:idx val="42"/>
        <c:spPr>
          <a:solidFill>
            <a:schemeClr val="accent1"/>
          </a:solidFill>
          <a:ln w="19050">
            <a:solidFill>
              <a:schemeClr val="lt1"/>
            </a:solidFill>
          </a:ln>
          <a:effectLst/>
        </c:spPr>
      </c:pivotFmt>
      <c:pivotFmt>
        <c:idx val="43"/>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solidFill>
            <a:srgbClr val="22FE47"/>
          </a:solidFill>
          <a:ln w="19050">
            <a:solidFill>
              <a:schemeClr val="tx1"/>
            </a:solidFill>
          </a:ln>
          <a:effectLst/>
        </c:spPr>
      </c:pivotFmt>
      <c:pivotFmt>
        <c:idx val="45"/>
        <c:spPr>
          <a:solidFill>
            <a:schemeClr val="accent1"/>
          </a:solidFill>
          <a:ln w="19050">
            <a:solidFill>
              <a:schemeClr val="lt1"/>
            </a:solidFill>
          </a:ln>
          <a:effectLst/>
        </c:spPr>
      </c:pivotFmt>
      <c:pivotFmt>
        <c:idx val="46"/>
        <c:spPr>
          <a:solidFill>
            <a:schemeClr val="accent1"/>
          </a:solidFill>
          <a:ln w="19050">
            <a:solidFill>
              <a:schemeClr val="lt1"/>
            </a:solidFill>
          </a:ln>
          <a:effectLst/>
        </c:spPr>
      </c:pivotFmt>
      <c:pivotFmt>
        <c:idx val="47"/>
        <c:spPr>
          <a:solidFill>
            <a:schemeClr val="accent1"/>
          </a:solidFill>
          <a:ln w="19050">
            <a:solidFill>
              <a:schemeClr val="lt1"/>
            </a:solidFill>
          </a:ln>
          <a:effectLst/>
        </c:spPr>
      </c:pivotFmt>
      <c:pivotFmt>
        <c:idx val="48"/>
        <c:spPr>
          <a:solidFill>
            <a:schemeClr val="accent1"/>
          </a:solidFill>
          <a:ln w="19050">
            <a:solidFill>
              <a:schemeClr val="lt1"/>
            </a:solidFill>
          </a:ln>
          <a:effectLst/>
        </c:spPr>
      </c:pivotFmt>
      <c:pivotFmt>
        <c:idx val="49"/>
        <c:spPr>
          <a:solidFill>
            <a:schemeClr val="accent1"/>
          </a:solidFill>
          <a:ln w="19050">
            <a:solidFill>
              <a:schemeClr val="lt1"/>
            </a:solidFill>
          </a:ln>
          <a:effectLst/>
        </c:spPr>
      </c:pivotFmt>
      <c:pivotFmt>
        <c:idx val="50"/>
        <c:spPr>
          <a:solidFill>
            <a:schemeClr val="accent1"/>
          </a:solidFill>
          <a:ln w="19050">
            <a:solidFill>
              <a:schemeClr val="lt1"/>
            </a:solidFill>
          </a:ln>
          <a:effectLst/>
        </c:spPr>
      </c:pivotFmt>
      <c:pivotFmt>
        <c:idx val="51"/>
        <c:spPr>
          <a:solidFill>
            <a:schemeClr val="accent1"/>
          </a:solidFill>
          <a:ln w="19050">
            <a:solidFill>
              <a:schemeClr val="lt1"/>
            </a:solidFill>
          </a:ln>
          <a:effectLst/>
        </c:spPr>
      </c:pivotFmt>
      <c:pivotFmt>
        <c:idx val="52"/>
        <c:spPr>
          <a:solidFill>
            <a:schemeClr val="accent1"/>
          </a:solidFill>
          <a:ln w="19050">
            <a:solidFill>
              <a:schemeClr val="lt1"/>
            </a:solidFill>
          </a:ln>
          <a:effectLst/>
        </c:spPr>
      </c:pivotFmt>
      <c:pivotFmt>
        <c:idx val="53"/>
        <c:spPr>
          <a:solidFill>
            <a:schemeClr val="accent1"/>
          </a:solidFill>
          <a:ln w="19050">
            <a:solidFill>
              <a:schemeClr val="lt1"/>
            </a:solidFill>
          </a:ln>
          <a:effectLst/>
        </c:spPr>
      </c:pivotFmt>
      <c:pivotFmt>
        <c:idx val="54"/>
        <c:spPr>
          <a:solidFill>
            <a:schemeClr val="accent1"/>
          </a:solidFill>
          <a:ln w="19050">
            <a:solidFill>
              <a:schemeClr val="lt1"/>
            </a:solidFill>
          </a:ln>
          <a:effectLst/>
        </c:spPr>
      </c:pivotFmt>
      <c:pivotFmt>
        <c:idx val="55"/>
        <c:spPr>
          <a:solidFill>
            <a:schemeClr val="accent1"/>
          </a:solidFill>
          <a:ln w="19050">
            <a:solidFill>
              <a:schemeClr val="lt1"/>
            </a:solidFill>
          </a:ln>
          <a:effectLst/>
        </c:spPr>
      </c:pivotFmt>
      <c:pivotFmt>
        <c:idx val="56"/>
        <c:spPr>
          <a:solidFill>
            <a:schemeClr val="accent1"/>
          </a:solidFill>
          <a:ln w="19050">
            <a:solidFill>
              <a:schemeClr val="lt1"/>
            </a:solidFill>
          </a:ln>
          <a:effectLst/>
        </c:spPr>
      </c:pivotFmt>
    </c:pivotFmts>
    <c:plotArea>
      <c:layout/>
      <c:pieChart>
        <c:varyColors val="1"/>
        <c:ser>
          <c:idx val="0"/>
          <c:order val="0"/>
          <c:tx>
            <c:strRef>
              <c:f>'profitsforproduct&amp;ID'!$B$3</c:f>
              <c:strCache>
                <c:ptCount val="1"/>
                <c:pt idx="0">
                  <c:v>Total</c:v>
                </c:pt>
              </c:strCache>
            </c:strRef>
          </c:tx>
          <c:dPt>
            <c:idx val="0"/>
            <c:bubble3D val="0"/>
            <c:spPr>
              <a:solidFill>
                <a:srgbClr val="22FE47"/>
              </a:solidFill>
              <a:ln w="19050">
                <a:solidFill>
                  <a:schemeClr val="tx1"/>
                </a:solidFill>
              </a:ln>
              <a:effectLst/>
            </c:spPr>
            <c:extLst>
              <c:ext xmlns:c16="http://schemas.microsoft.com/office/drawing/2014/chart" uri="{C3380CC4-5D6E-409C-BE32-E72D297353CC}">
                <c16:uniqueId val="{00000001-1F15-471B-80A7-5CE11D296BF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F15-471B-80A7-5CE11D296BF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F15-471B-80A7-5CE11D296BF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F15-471B-80A7-5CE11D296BF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F15-471B-80A7-5CE11D296BF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F15-471B-80A7-5CE11D296BF8}"/>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1F15-471B-80A7-5CE11D296BF8}"/>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1F15-471B-80A7-5CE11D296BF8}"/>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1F15-471B-80A7-5CE11D296BF8}"/>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1F15-471B-80A7-5CE11D296BF8}"/>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1F15-471B-80A7-5CE11D296BF8}"/>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1F15-471B-80A7-5CE11D296BF8}"/>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1F15-471B-80A7-5CE11D296BF8}"/>
              </c:ext>
            </c:extLst>
          </c:dPt>
          <c:cat>
            <c:multiLvlStrRef>
              <c:f>'profitsforproduct&amp;ID'!$A$4:$A$29</c:f>
              <c:multiLvlStrCache>
                <c:ptCount val="13"/>
                <c:lvl>
                  <c:pt idx="0">
                    <c:v>Canon imageCLASS 2200 Advanced Copier</c:v>
                  </c:pt>
                  <c:pt idx="1">
                    <c:v>Fellowes PB500 Electric Punch Plastic Comb Binding Machine with Manual Bind</c:v>
                  </c:pt>
                  <c:pt idx="2">
                    <c:v>Hewlett Packard LaserJet 3310 Copier</c:v>
                  </c:pt>
                  <c:pt idx="3">
                    <c:v>Canon PC1060 Personal Laser Copier</c:v>
                  </c:pt>
                  <c:pt idx="4">
                    <c:v>Logitech G19 Programmable Gaming Keyboard</c:v>
                  </c:pt>
                  <c:pt idx="5">
                    <c:v>Plantronics Savi W720 Multi-Device Wireless Headset System</c:v>
                  </c:pt>
                  <c:pt idx="6">
                    <c:v>HP Designjet T520 Inkjet Large Format Printer - 24" Color</c:v>
                  </c:pt>
                  <c:pt idx="7">
                    <c:v>Ativa V4110MDD Micro-Cut Shredder</c:v>
                  </c:pt>
                  <c:pt idx="8">
                    <c:v>3D Systems Cube Printer, 2nd Generation, Magenta</c:v>
                  </c:pt>
                  <c:pt idx="9">
                    <c:v>Ibico EPK-21 Electric Binding System</c:v>
                  </c:pt>
                  <c:pt idx="10">
                    <c:v>Zebra ZM400 Thermal Label Printer</c:v>
                  </c:pt>
                  <c:pt idx="11">
                    <c:v>Honeywell Enviracaire Portable HEPA Air Cleaner for 17' x 22' Room</c:v>
                  </c:pt>
                  <c:pt idx="12">
                    <c:v>Hewlett Packard 610 Color Digital Copier / Printer</c:v>
                  </c:pt>
                </c:lvl>
                <c:lvl>
                  <c:pt idx="0">
                    <c:v>TEC-CO-10004722</c:v>
                  </c:pt>
                  <c:pt idx="1">
                    <c:v>OFF-BI-10003527</c:v>
                  </c:pt>
                  <c:pt idx="2">
                    <c:v>TEC-CO-10001449</c:v>
                  </c:pt>
                  <c:pt idx="3">
                    <c:v>TEC-CO-10003763</c:v>
                  </c:pt>
                  <c:pt idx="4">
                    <c:v>TEC-AC-10002049</c:v>
                  </c:pt>
                  <c:pt idx="6">
                    <c:v>TEC-MA-10001127</c:v>
                  </c:pt>
                  <c:pt idx="7">
                    <c:v>TEC-MA-10003979</c:v>
                  </c:pt>
                  <c:pt idx="8">
                    <c:v>TEC-MA-10001047</c:v>
                  </c:pt>
                  <c:pt idx="9">
                    <c:v>OFF-BI-10001120</c:v>
                  </c:pt>
                  <c:pt idx="10">
                    <c:v>TEC-MA-10000045</c:v>
                  </c:pt>
                  <c:pt idx="11">
                    <c:v>OFF-AP-10002945</c:v>
                  </c:pt>
                  <c:pt idx="12">
                    <c:v>TEC-CO-10002095</c:v>
                  </c:pt>
                </c:lvl>
              </c:multiLvlStrCache>
            </c:multiLvlStrRef>
          </c:cat>
          <c:val>
            <c:numRef>
              <c:f>'profitsforproduct&amp;ID'!$B$4:$B$29</c:f>
              <c:numCache>
                <c:formatCode>_-[$$-409]* #,##0_ ;_-[$$-409]* \-#,##0\ ;_-[$$-409]* "-"??_ ;_-@_ </c:formatCode>
                <c:ptCount val="13"/>
                <c:pt idx="0">
                  <c:v>25199.928</c:v>
                </c:pt>
                <c:pt idx="1">
                  <c:v>7753.0389999999989</c:v>
                </c:pt>
                <c:pt idx="2">
                  <c:v>6983.8836000000001</c:v>
                </c:pt>
                <c:pt idx="3">
                  <c:v>4570.9346999999998</c:v>
                </c:pt>
                <c:pt idx="4">
                  <c:v>729.06119999999999</c:v>
                </c:pt>
                <c:pt idx="5">
                  <c:v>3696.2820000000002</c:v>
                </c:pt>
                <c:pt idx="6">
                  <c:v>4094.9766</c:v>
                </c:pt>
                <c:pt idx="7">
                  <c:v>3772.9461000000001</c:v>
                </c:pt>
                <c:pt idx="8">
                  <c:v>3717.9714000000004</c:v>
                </c:pt>
                <c:pt idx="9">
                  <c:v>3345.2822999999999</c:v>
                </c:pt>
                <c:pt idx="10">
                  <c:v>3343.5360000000001</c:v>
                </c:pt>
                <c:pt idx="11">
                  <c:v>3247.02</c:v>
                </c:pt>
                <c:pt idx="12">
                  <c:v>3124.9375</c:v>
                </c:pt>
              </c:numCache>
            </c:numRef>
          </c:val>
          <c:extLst>
            <c:ext xmlns:c16="http://schemas.microsoft.com/office/drawing/2014/chart" uri="{C3380CC4-5D6E-409C-BE32-E72D297353CC}">
              <c16:uniqueId val="{0000001A-1F15-471B-80A7-5CE11D296BF8}"/>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[excel assessment draft1.xlsx]lossesforproduct&amp;productID!PivotTable3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chemeClr val="tx1"/>
                </a:solidFill>
              </a:rPr>
              <a:t>Amount of loss for each product ID (Top 12)</a:t>
            </a:r>
          </a:p>
        </c:rich>
      </c:tx>
      <c:layout>
        <c:manualLayout>
          <c:xMode val="edge"/>
          <c:yMode val="edge"/>
          <c:x val="1.9922245041795153E-3"/>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circle"/>
          <c:size val="5"/>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rgbClr val="FF0000"/>
          </a:solidFill>
          <a:ln w="19050">
            <a:solidFill>
              <a:schemeClr val="lt1"/>
            </a:solidFill>
          </a:ln>
          <a:effectLst/>
        </c:spPr>
      </c:pivotFmt>
      <c:pivotFmt>
        <c:idx val="2"/>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rgbClr val="FF0000"/>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solidFill>
          <a:ln w="19050">
            <a:solidFill>
              <a:schemeClr val="lt1"/>
            </a:solidFill>
          </a:ln>
          <a:effectLst/>
        </c:spPr>
      </c:pivotFmt>
      <c:pivotFmt>
        <c:idx val="9"/>
        <c:spPr>
          <a:solidFill>
            <a:schemeClr val="accent1"/>
          </a:solidFill>
          <a:ln w="19050">
            <a:solidFill>
              <a:schemeClr val="lt1"/>
            </a:solidFill>
          </a:ln>
          <a:effectLst/>
        </c:spPr>
      </c:pivotFmt>
      <c:pivotFmt>
        <c:idx val="10"/>
        <c:spPr>
          <a:solidFill>
            <a:schemeClr val="accent1"/>
          </a:solidFill>
          <a:ln w="19050">
            <a:solidFill>
              <a:schemeClr val="lt1"/>
            </a:solidFill>
          </a:ln>
          <a:effectLst/>
        </c:spPr>
      </c:pivotFmt>
      <c:pivotFmt>
        <c:idx val="11"/>
        <c:spPr>
          <a:solidFill>
            <a:schemeClr val="accent1"/>
          </a:solidFill>
          <a:ln w="19050">
            <a:solidFill>
              <a:schemeClr val="lt1"/>
            </a:solidFill>
          </a:ln>
          <a:effectLst/>
        </c:spPr>
      </c:pivotFmt>
      <c:pivotFmt>
        <c:idx val="12"/>
        <c:spPr>
          <a:solidFill>
            <a:schemeClr val="accent1"/>
          </a:solidFill>
          <a:ln w="19050">
            <a:solidFill>
              <a:schemeClr val="lt1"/>
            </a:solidFill>
          </a:ln>
          <a:effectLst/>
        </c:spPr>
      </c:pivotFmt>
      <c:pivotFmt>
        <c:idx val="13"/>
        <c:spPr>
          <a:solidFill>
            <a:schemeClr val="accent1"/>
          </a:solidFill>
          <a:ln w="19050">
            <a:solidFill>
              <a:schemeClr val="lt1"/>
            </a:solidFill>
          </a:ln>
          <a:effectLst/>
        </c:spPr>
      </c:pivotFmt>
      <c:pivotFmt>
        <c:idx val="14"/>
        <c:spPr>
          <a:solidFill>
            <a:schemeClr val="accent1"/>
          </a:solidFill>
          <a:ln w="19050">
            <a:solidFill>
              <a:schemeClr val="lt1"/>
            </a:solidFill>
          </a:ln>
          <a:effectLst/>
        </c:spPr>
      </c:pivotFmt>
      <c:pivotFmt>
        <c:idx val="15"/>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rgbClr val="FF0000"/>
          </a:solidFill>
          <a:ln w="19050">
            <a:solidFill>
              <a:schemeClr val="tx1"/>
            </a:solidFill>
          </a:ln>
          <a:effectLst/>
        </c:spPr>
      </c:pivotFmt>
      <c:pivotFmt>
        <c:idx val="17"/>
        <c:spPr>
          <a:solidFill>
            <a:schemeClr val="accent1"/>
          </a:solidFill>
          <a:ln w="19050">
            <a:solidFill>
              <a:schemeClr val="lt1"/>
            </a:solidFill>
          </a:ln>
          <a:effectLst/>
        </c:spPr>
      </c:pivotFmt>
      <c:pivotFmt>
        <c:idx val="18"/>
        <c:spPr>
          <a:solidFill>
            <a:schemeClr val="accent1"/>
          </a:solidFill>
          <a:ln w="19050">
            <a:solidFill>
              <a:schemeClr val="lt1"/>
            </a:solidFill>
          </a:ln>
          <a:effectLst/>
        </c:spPr>
      </c:pivotFmt>
      <c:pivotFmt>
        <c:idx val="19"/>
        <c:spPr>
          <a:solidFill>
            <a:schemeClr val="accent1"/>
          </a:solidFill>
          <a:ln w="19050">
            <a:solidFill>
              <a:schemeClr val="lt1"/>
            </a:solidFill>
          </a:ln>
          <a:effectLst/>
        </c:spPr>
      </c:pivotFmt>
      <c:pivotFmt>
        <c:idx val="20"/>
        <c:spPr>
          <a:solidFill>
            <a:schemeClr val="accent1"/>
          </a:solidFill>
          <a:ln w="19050">
            <a:solidFill>
              <a:schemeClr val="lt1"/>
            </a:solidFill>
          </a:ln>
          <a:effectLst/>
        </c:spPr>
      </c:pivotFmt>
      <c:pivotFmt>
        <c:idx val="21"/>
        <c:spPr>
          <a:solidFill>
            <a:schemeClr val="accent1"/>
          </a:solidFill>
          <a:ln w="19050">
            <a:solidFill>
              <a:schemeClr val="lt1"/>
            </a:solidFill>
          </a:ln>
          <a:effectLst/>
        </c:spPr>
      </c:pivotFmt>
      <c:pivotFmt>
        <c:idx val="22"/>
        <c:spPr>
          <a:solidFill>
            <a:schemeClr val="accent1"/>
          </a:solidFill>
          <a:ln w="19050">
            <a:solidFill>
              <a:schemeClr val="lt1"/>
            </a:solidFill>
          </a:ln>
          <a:effectLst/>
        </c:spPr>
      </c:pivotFmt>
      <c:pivotFmt>
        <c:idx val="23"/>
        <c:spPr>
          <a:solidFill>
            <a:schemeClr val="accent1"/>
          </a:solidFill>
          <a:ln w="19050">
            <a:solidFill>
              <a:schemeClr val="lt1"/>
            </a:solidFill>
          </a:ln>
          <a:effectLst/>
        </c:spPr>
      </c:pivotFmt>
      <c:pivotFmt>
        <c:idx val="24"/>
        <c:spPr>
          <a:solidFill>
            <a:schemeClr val="accent1"/>
          </a:solidFill>
          <a:ln w="19050">
            <a:solidFill>
              <a:schemeClr val="lt1"/>
            </a:solidFill>
          </a:ln>
          <a:effectLst/>
        </c:spPr>
      </c:pivotFmt>
      <c:pivotFmt>
        <c:idx val="25"/>
        <c:spPr>
          <a:solidFill>
            <a:schemeClr val="accent1"/>
          </a:solidFill>
          <a:ln w="19050">
            <a:solidFill>
              <a:schemeClr val="lt1"/>
            </a:solidFill>
          </a:ln>
          <a:effectLst/>
        </c:spPr>
      </c:pivotFmt>
      <c:pivotFmt>
        <c:idx val="26"/>
        <c:spPr>
          <a:solidFill>
            <a:schemeClr val="accent1"/>
          </a:solidFill>
          <a:ln w="19050">
            <a:solidFill>
              <a:schemeClr val="lt1"/>
            </a:solidFill>
          </a:ln>
          <a:effectLst/>
        </c:spPr>
      </c:pivotFmt>
      <c:pivotFmt>
        <c:idx val="27"/>
        <c:spPr>
          <a:solidFill>
            <a:schemeClr val="accent1"/>
          </a:solidFill>
          <a:ln w="19050">
            <a:solidFill>
              <a:schemeClr val="lt1"/>
            </a:solidFill>
          </a:ln>
          <a:effectLst/>
        </c:spPr>
      </c:pivotFmt>
      <c:pivotFmt>
        <c:idx val="28"/>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rgbClr val="FF0000"/>
          </a:solidFill>
          <a:ln w="19050">
            <a:solidFill>
              <a:schemeClr val="tx1"/>
            </a:solidFill>
          </a:ln>
          <a:effectLst/>
        </c:spPr>
      </c:pivotFmt>
      <c:pivotFmt>
        <c:idx val="30"/>
        <c:spPr>
          <a:solidFill>
            <a:schemeClr val="accent1"/>
          </a:solidFill>
          <a:ln w="19050">
            <a:solidFill>
              <a:schemeClr val="lt1"/>
            </a:solidFill>
          </a:ln>
          <a:effectLst/>
        </c:spPr>
      </c:pivotFmt>
      <c:pivotFmt>
        <c:idx val="31"/>
        <c:spPr>
          <a:solidFill>
            <a:schemeClr val="accent1"/>
          </a:solidFill>
          <a:ln w="19050">
            <a:solidFill>
              <a:schemeClr val="lt1"/>
            </a:solidFill>
          </a:ln>
          <a:effectLst/>
        </c:spPr>
      </c:pivotFmt>
      <c:pivotFmt>
        <c:idx val="32"/>
        <c:spPr>
          <a:solidFill>
            <a:schemeClr val="accent1"/>
          </a:solidFill>
          <a:ln w="19050">
            <a:solidFill>
              <a:schemeClr val="lt1"/>
            </a:solidFill>
          </a:ln>
          <a:effectLst/>
        </c:spPr>
      </c:pivotFmt>
      <c:pivotFmt>
        <c:idx val="33"/>
        <c:spPr>
          <a:solidFill>
            <a:schemeClr val="accent1"/>
          </a:solidFill>
          <a:ln w="19050">
            <a:solidFill>
              <a:schemeClr val="lt1"/>
            </a:solidFill>
          </a:ln>
          <a:effectLst/>
        </c:spPr>
      </c:pivotFmt>
      <c:pivotFmt>
        <c:idx val="34"/>
        <c:spPr>
          <a:solidFill>
            <a:schemeClr val="accent1"/>
          </a:solidFill>
          <a:ln w="19050">
            <a:solidFill>
              <a:schemeClr val="lt1"/>
            </a:solidFill>
          </a:ln>
          <a:effectLst/>
        </c:spPr>
      </c:pivotFmt>
      <c:pivotFmt>
        <c:idx val="35"/>
        <c:spPr>
          <a:solidFill>
            <a:schemeClr val="accent1"/>
          </a:solidFill>
          <a:ln w="19050">
            <a:solidFill>
              <a:schemeClr val="lt1"/>
            </a:solidFill>
          </a:ln>
          <a:effectLst/>
        </c:spPr>
      </c:pivotFmt>
      <c:pivotFmt>
        <c:idx val="36"/>
        <c:spPr>
          <a:solidFill>
            <a:schemeClr val="accent1"/>
          </a:solidFill>
          <a:ln w="19050">
            <a:solidFill>
              <a:schemeClr val="lt1"/>
            </a:solidFill>
          </a:ln>
          <a:effectLst/>
        </c:spPr>
      </c:pivotFmt>
      <c:pivotFmt>
        <c:idx val="37"/>
        <c:spPr>
          <a:solidFill>
            <a:schemeClr val="accent1"/>
          </a:solidFill>
          <a:ln w="19050">
            <a:solidFill>
              <a:schemeClr val="lt1"/>
            </a:solidFill>
          </a:ln>
          <a:effectLst/>
        </c:spPr>
      </c:pivotFmt>
      <c:pivotFmt>
        <c:idx val="38"/>
        <c:spPr>
          <a:solidFill>
            <a:schemeClr val="accent1"/>
          </a:solidFill>
          <a:ln w="19050">
            <a:solidFill>
              <a:schemeClr val="lt1"/>
            </a:solidFill>
          </a:ln>
          <a:effectLst/>
        </c:spPr>
      </c:pivotFmt>
      <c:pivotFmt>
        <c:idx val="39"/>
        <c:spPr>
          <a:solidFill>
            <a:schemeClr val="accent1"/>
          </a:solidFill>
          <a:ln w="19050">
            <a:solidFill>
              <a:schemeClr val="lt1"/>
            </a:solidFill>
          </a:ln>
          <a:effectLst/>
        </c:spPr>
      </c:pivotFmt>
      <c:pivotFmt>
        <c:idx val="40"/>
        <c:spPr>
          <a:solidFill>
            <a:schemeClr val="accent1"/>
          </a:solidFill>
          <a:ln w="19050">
            <a:solidFill>
              <a:schemeClr val="lt1"/>
            </a:solidFill>
          </a:ln>
          <a:effectLst/>
        </c:spPr>
      </c:pivotFmt>
      <c:pivotFmt>
        <c:idx val="4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solidFill>
            <a:srgbClr val="FF0000"/>
          </a:solidFill>
          <a:ln w="19050">
            <a:solidFill>
              <a:schemeClr val="tx1"/>
            </a:solidFill>
          </a:ln>
          <a:effectLst/>
        </c:spPr>
      </c:pivotFmt>
      <c:pivotFmt>
        <c:idx val="43"/>
        <c:spPr>
          <a:solidFill>
            <a:schemeClr val="accent1"/>
          </a:solidFill>
          <a:ln w="19050">
            <a:solidFill>
              <a:schemeClr val="lt1"/>
            </a:solidFill>
          </a:ln>
          <a:effectLst/>
        </c:spPr>
      </c:pivotFmt>
      <c:pivotFmt>
        <c:idx val="44"/>
        <c:spPr>
          <a:solidFill>
            <a:schemeClr val="accent1"/>
          </a:solidFill>
          <a:ln w="19050">
            <a:solidFill>
              <a:schemeClr val="lt1"/>
            </a:solidFill>
          </a:ln>
          <a:effectLst/>
        </c:spPr>
      </c:pivotFmt>
      <c:pivotFmt>
        <c:idx val="45"/>
        <c:spPr>
          <a:solidFill>
            <a:schemeClr val="accent1"/>
          </a:solidFill>
          <a:ln w="19050">
            <a:solidFill>
              <a:schemeClr val="lt1"/>
            </a:solidFill>
          </a:ln>
          <a:effectLst/>
        </c:spPr>
      </c:pivotFmt>
      <c:pivotFmt>
        <c:idx val="46"/>
        <c:spPr>
          <a:solidFill>
            <a:schemeClr val="accent1"/>
          </a:solidFill>
          <a:ln w="19050">
            <a:solidFill>
              <a:schemeClr val="lt1"/>
            </a:solidFill>
          </a:ln>
          <a:effectLst/>
        </c:spPr>
      </c:pivotFmt>
      <c:pivotFmt>
        <c:idx val="47"/>
        <c:spPr>
          <a:solidFill>
            <a:schemeClr val="accent1"/>
          </a:solidFill>
          <a:ln w="19050">
            <a:solidFill>
              <a:schemeClr val="lt1"/>
            </a:solidFill>
          </a:ln>
          <a:effectLst/>
        </c:spPr>
      </c:pivotFmt>
      <c:pivotFmt>
        <c:idx val="48"/>
        <c:spPr>
          <a:solidFill>
            <a:schemeClr val="accent1"/>
          </a:solidFill>
          <a:ln w="19050">
            <a:solidFill>
              <a:schemeClr val="lt1"/>
            </a:solidFill>
          </a:ln>
          <a:effectLst/>
        </c:spPr>
      </c:pivotFmt>
      <c:pivotFmt>
        <c:idx val="49"/>
        <c:spPr>
          <a:solidFill>
            <a:schemeClr val="accent1"/>
          </a:solidFill>
          <a:ln w="19050">
            <a:solidFill>
              <a:schemeClr val="lt1"/>
            </a:solidFill>
          </a:ln>
          <a:effectLst/>
        </c:spPr>
      </c:pivotFmt>
      <c:pivotFmt>
        <c:idx val="50"/>
        <c:spPr>
          <a:solidFill>
            <a:schemeClr val="accent1"/>
          </a:solidFill>
          <a:ln w="19050">
            <a:solidFill>
              <a:schemeClr val="lt1"/>
            </a:solidFill>
          </a:ln>
          <a:effectLst/>
        </c:spPr>
      </c:pivotFmt>
      <c:pivotFmt>
        <c:idx val="51"/>
        <c:spPr>
          <a:solidFill>
            <a:schemeClr val="accent1"/>
          </a:solidFill>
          <a:ln w="19050">
            <a:solidFill>
              <a:schemeClr val="lt1"/>
            </a:solidFill>
          </a:ln>
          <a:effectLst/>
        </c:spPr>
      </c:pivotFmt>
      <c:pivotFmt>
        <c:idx val="52"/>
        <c:spPr>
          <a:solidFill>
            <a:schemeClr val="accent1"/>
          </a:solidFill>
          <a:ln w="19050">
            <a:solidFill>
              <a:schemeClr val="lt1"/>
            </a:solidFill>
          </a:ln>
          <a:effectLst/>
        </c:spPr>
      </c:pivotFmt>
      <c:pivotFmt>
        <c:idx val="53"/>
        <c:spPr>
          <a:solidFill>
            <a:schemeClr val="accent1"/>
          </a:solidFill>
          <a:ln w="19050">
            <a:solidFill>
              <a:schemeClr val="lt1"/>
            </a:solidFill>
          </a:ln>
          <a:effectLst/>
        </c:spPr>
      </c:pivotFmt>
    </c:pivotFmts>
    <c:plotArea>
      <c:layout/>
      <c:pieChart>
        <c:varyColors val="1"/>
        <c:ser>
          <c:idx val="0"/>
          <c:order val="0"/>
          <c:tx>
            <c:strRef>
              <c:f>'lossesforproduct&amp;productID'!$B$3</c:f>
              <c:strCache>
                <c:ptCount val="1"/>
                <c:pt idx="0">
                  <c:v>Total</c:v>
                </c:pt>
              </c:strCache>
            </c:strRef>
          </c:tx>
          <c:dPt>
            <c:idx val="0"/>
            <c:bubble3D val="0"/>
            <c:spPr>
              <a:solidFill>
                <a:srgbClr val="FF0000"/>
              </a:solidFill>
              <a:ln w="19050">
                <a:solidFill>
                  <a:schemeClr val="tx1"/>
                </a:solidFill>
              </a:ln>
              <a:effectLst/>
            </c:spPr>
            <c:extLst>
              <c:ext xmlns:c16="http://schemas.microsoft.com/office/drawing/2014/chart" uri="{C3380CC4-5D6E-409C-BE32-E72D297353CC}">
                <c16:uniqueId val="{00000001-9682-47FD-97AA-AF0E8E09658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682-47FD-97AA-AF0E8E09658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682-47FD-97AA-AF0E8E09658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682-47FD-97AA-AF0E8E09658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9682-47FD-97AA-AF0E8E096586}"/>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9682-47FD-97AA-AF0E8E096586}"/>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9682-47FD-97AA-AF0E8E096586}"/>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9682-47FD-97AA-AF0E8E096586}"/>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9682-47FD-97AA-AF0E8E096586}"/>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9682-47FD-97AA-AF0E8E096586}"/>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9682-47FD-97AA-AF0E8E096586}"/>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9682-47FD-97AA-AF0E8E096586}"/>
              </c:ext>
            </c:extLst>
          </c:dPt>
          <c:cat>
            <c:multiLvlStrRef>
              <c:f>'lossesforproduct&amp;productID'!$A$4:$A$28</c:f>
              <c:multiLvlStrCache>
                <c:ptCount val="12"/>
                <c:lvl>
                  <c:pt idx="0">
                    <c:v>Cubify CubeX 3D Printer Double Head Print</c:v>
                  </c:pt>
                  <c:pt idx="1">
                    <c:v>Lexmark MX611dhe Monochrome Laser Printer</c:v>
                  </c:pt>
                  <c:pt idx="2">
                    <c:v>Cubify CubeX 3D Printer Triple Head Print</c:v>
                  </c:pt>
                  <c:pt idx="3">
                    <c:v>Chromcraft Bull-Nose Wood Oval Conference Tables &amp; Bases</c:v>
                  </c:pt>
                  <c:pt idx="4">
                    <c:v>Bush Advantage Collection Racetrack Conference Table</c:v>
                  </c:pt>
                  <c:pt idx="5">
                    <c:v>GBC DocuBind P400 Electric Binding System</c:v>
                  </c:pt>
                  <c:pt idx="6">
                    <c:v>Cisco TelePresence System EX90 Videoconferencing Unit</c:v>
                  </c:pt>
                  <c:pt idx="7">
                    <c:v>Martin Yale Chadless Opener Electric Letter Opener</c:v>
                  </c:pt>
                  <c:pt idx="8">
                    <c:v>Balt Solid Wood Round Tables</c:v>
                  </c:pt>
                  <c:pt idx="9">
                    <c:v>BoxOffice By Design Rectangular and Half-Moon Meeting Room Tables</c:v>
                  </c:pt>
                  <c:pt idx="10">
                    <c:v>Riverside Furniture Oval Coffee Table, Oval End Table, End Table with Drawer</c:v>
                  </c:pt>
                  <c:pt idx="11">
                    <c:v>Epson TM-T88V Direct Thermal Printer - Monochrome - Desktop</c:v>
                  </c:pt>
                </c:lvl>
                <c:lvl>
                  <c:pt idx="0">
                    <c:v>TEC-MA-10000418</c:v>
                  </c:pt>
                  <c:pt idx="1">
                    <c:v>TEC-MA-10000822</c:v>
                  </c:pt>
                  <c:pt idx="2">
                    <c:v>TEC-MA-10004125</c:v>
                  </c:pt>
                  <c:pt idx="3">
                    <c:v>FUR-TA-10000198</c:v>
                  </c:pt>
                  <c:pt idx="4">
                    <c:v>FUR-TA-10001889</c:v>
                  </c:pt>
                  <c:pt idx="5">
                    <c:v>OFF-BI-10004995</c:v>
                  </c:pt>
                  <c:pt idx="6">
                    <c:v>TEC-MA-10002412</c:v>
                  </c:pt>
                  <c:pt idx="7">
                    <c:v>OFF-SU-10002881</c:v>
                  </c:pt>
                  <c:pt idx="8">
                    <c:v>FUR-TA-10001950</c:v>
                  </c:pt>
                  <c:pt idx="9">
                    <c:v>FUR-TA-10004289</c:v>
                  </c:pt>
                  <c:pt idx="10">
                    <c:v>FUR-TA-10004154</c:v>
                  </c:pt>
                  <c:pt idx="11">
                    <c:v>TEC-MA-10002210</c:v>
                  </c:pt>
                </c:lvl>
              </c:multiLvlStrCache>
            </c:multiLvlStrRef>
          </c:cat>
          <c:val>
            <c:numRef>
              <c:f>'lossesforproduct&amp;productID'!$B$4:$B$28</c:f>
              <c:numCache>
                <c:formatCode>_-[$$-409]* #,##0.00_ ;_-[$$-409]* \-#,##0.00\ ;_-[$$-409]* "-"??_ ;_-@_ </c:formatCode>
                <c:ptCount val="12"/>
                <c:pt idx="0">
                  <c:v>-8879.9704000000002</c:v>
                </c:pt>
                <c:pt idx="1">
                  <c:v>-4589.973</c:v>
                </c:pt>
                <c:pt idx="2">
                  <c:v>-3839.9904000000001</c:v>
                </c:pt>
                <c:pt idx="3">
                  <c:v>-2876.1156000000001</c:v>
                </c:pt>
                <c:pt idx="4">
                  <c:v>-1934.3976</c:v>
                </c:pt>
                <c:pt idx="5">
                  <c:v>-1878.1661999999999</c:v>
                </c:pt>
                <c:pt idx="6">
                  <c:v>-1811.0784000000001</c:v>
                </c:pt>
                <c:pt idx="7">
                  <c:v>-1299.1836000000001</c:v>
                </c:pt>
                <c:pt idx="8">
                  <c:v>-1201.0581</c:v>
                </c:pt>
                <c:pt idx="9">
                  <c:v>-1148.4375</c:v>
                </c:pt>
                <c:pt idx="10">
                  <c:v>-1147.4000000000001</c:v>
                </c:pt>
                <c:pt idx="11">
                  <c:v>-1057.23</c:v>
                </c:pt>
              </c:numCache>
            </c:numRef>
          </c:val>
          <c:extLst>
            <c:ext xmlns:c16="http://schemas.microsoft.com/office/drawing/2014/chart" uri="{C3380CC4-5D6E-409C-BE32-E72D297353CC}">
              <c16:uniqueId val="{00000018-9682-47FD-97AA-AF0E8E096586}"/>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Se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6"/>
    </mc:Choice>
    <mc:Fallback>
      <c:style val="6"/>
    </mc:Fallback>
  </mc:AlternateContent>
  <c:pivotSource>
    <c:name>[excel assessment draft1.xlsx]profitsforeachstate!PivotTable16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1">
                <a:solidFill>
                  <a:sysClr val="windowText" lastClr="000000"/>
                </a:solidFill>
              </a:rPr>
              <a:t>Sum</a:t>
            </a:r>
            <a:r>
              <a:rPr lang="en-GB" sz="1400" b="1" baseline="0">
                <a:solidFill>
                  <a:sysClr val="windowText" lastClr="000000"/>
                </a:solidFill>
              </a:rPr>
              <a:t> of Profits and losses for each state</a:t>
            </a:r>
            <a:endParaRPr lang="en-GB" sz="1400" b="1">
              <a:solidFill>
                <a:sysClr val="windowText" lastClr="000000"/>
              </a:solidFill>
            </a:endParaRPr>
          </a:p>
        </c:rich>
      </c:tx>
      <c:layout>
        <c:manualLayout>
          <c:xMode val="edge"/>
          <c:yMode val="edge"/>
          <c:x val="0.24668345597529107"/>
          <c:y val="1.019935945123761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4"/>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bg2">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solidFill>
          <a:ln>
            <a:noFill/>
          </a:ln>
          <a:effectLst/>
        </c:spPr>
      </c:pivotFmt>
      <c:pivotFmt>
        <c:idx val="5"/>
        <c:spPr>
          <a:solidFill>
            <a:srgbClr val="22FE47"/>
          </a:solidFill>
          <a:ln>
            <a:noFill/>
          </a:ln>
          <a:effectLst/>
        </c:spPr>
      </c:pivotFmt>
      <c:pivotFmt>
        <c:idx val="6"/>
        <c:spPr>
          <a:solidFill>
            <a:schemeClr val="bg2">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rgbClr val="FF0000"/>
          </a:solidFill>
          <a:ln>
            <a:noFill/>
          </a:ln>
          <a:effectLst/>
        </c:spPr>
      </c:pivotFmt>
      <c:pivotFmt>
        <c:idx val="8"/>
        <c:spPr>
          <a:solidFill>
            <a:srgbClr val="22FE47"/>
          </a:solidFill>
          <a:ln>
            <a:noFill/>
          </a:ln>
          <a:effectLst/>
        </c:spPr>
      </c:pivotFmt>
      <c:pivotFmt>
        <c:idx val="9"/>
        <c:spPr>
          <a:solidFill>
            <a:schemeClr val="bg2">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rgbClr val="FF0000"/>
          </a:solidFill>
          <a:ln>
            <a:noFill/>
          </a:ln>
          <a:effectLst/>
        </c:spPr>
      </c:pivotFmt>
      <c:pivotFmt>
        <c:idx val="11"/>
        <c:spPr>
          <a:solidFill>
            <a:srgbClr val="22FE47"/>
          </a:solidFill>
          <a:ln>
            <a:noFill/>
          </a:ln>
          <a:effectLst/>
        </c:spPr>
      </c:pivotFmt>
    </c:pivotFmts>
    <c:plotArea>
      <c:layout/>
      <c:barChart>
        <c:barDir val="col"/>
        <c:grouping val="clustered"/>
        <c:varyColors val="0"/>
        <c:ser>
          <c:idx val="0"/>
          <c:order val="0"/>
          <c:tx>
            <c:strRef>
              <c:f>profitsforeachstate!$C$6</c:f>
              <c:strCache>
                <c:ptCount val="1"/>
                <c:pt idx="0">
                  <c:v>Total</c:v>
                </c:pt>
              </c:strCache>
            </c:strRef>
          </c:tx>
          <c:spPr>
            <a:solidFill>
              <a:schemeClr val="bg2">
                <a:lumMod val="75000"/>
              </a:schemeClr>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FA51-4144-9982-A0E4CBA09B0C}"/>
              </c:ext>
            </c:extLst>
          </c:dPt>
          <c:dPt>
            <c:idx val="48"/>
            <c:invertIfNegative val="0"/>
            <c:bubble3D val="0"/>
            <c:spPr>
              <a:solidFill>
                <a:srgbClr val="22FE47"/>
              </a:solidFill>
              <a:ln>
                <a:noFill/>
              </a:ln>
              <a:effectLst/>
            </c:spPr>
            <c:extLst>
              <c:ext xmlns:c16="http://schemas.microsoft.com/office/drawing/2014/chart" uri="{C3380CC4-5D6E-409C-BE32-E72D297353CC}">
                <c16:uniqueId val="{00000003-FA51-4144-9982-A0E4CBA09B0C}"/>
              </c:ext>
            </c:extLst>
          </c:dPt>
          <c:cat>
            <c:strRef>
              <c:f>profitsforeachstate!$B$7:$B$56</c:f>
              <c:strCache>
                <c:ptCount val="49"/>
                <c:pt idx="0">
                  <c:v>Texas</c:v>
                </c:pt>
                <c:pt idx="1">
                  <c:v>Ohio</c:v>
                </c:pt>
                <c:pt idx="2">
                  <c:v>Pennsylvania</c:v>
                </c:pt>
                <c:pt idx="3">
                  <c:v>Illinois</c:v>
                </c:pt>
                <c:pt idx="4">
                  <c:v>North Carolina</c:v>
                </c:pt>
                <c:pt idx="5">
                  <c:v>Colorado</c:v>
                </c:pt>
                <c:pt idx="6">
                  <c:v>Tennessee</c:v>
                </c:pt>
                <c:pt idx="7">
                  <c:v>Arizona</c:v>
                </c:pt>
                <c:pt idx="8">
                  <c:v>Florida</c:v>
                </c:pt>
                <c:pt idx="9">
                  <c:v>Oregon</c:v>
                </c:pt>
                <c:pt idx="10">
                  <c:v>Wyoming</c:v>
                </c:pt>
                <c:pt idx="11">
                  <c:v>West Virginia</c:v>
                </c:pt>
                <c:pt idx="12">
                  <c:v>North Dakota</c:v>
                </c:pt>
                <c:pt idx="13">
                  <c:v>South Dakota</c:v>
                </c:pt>
                <c:pt idx="14">
                  <c:v>Maine</c:v>
                </c:pt>
                <c:pt idx="15">
                  <c:v>Idaho</c:v>
                </c:pt>
                <c:pt idx="16">
                  <c:v>Kansas</c:v>
                </c:pt>
                <c:pt idx="17">
                  <c:v>District of Columbia</c:v>
                </c:pt>
                <c:pt idx="18">
                  <c:v>New Mexico</c:v>
                </c:pt>
                <c:pt idx="19">
                  <c:v>Iowa</c:v>
                </c:pt>
                <c:pt idx="20">
                  <c:v>New Hampshire</c:v>
                </c:pt>
                <c:pt idx="21">
                  <c:v>South Carolina</c:v>
                </c:pt>
                <c:pt idx="22">
                  <c:v>Montana</c:v>
                </c:pt>
                <c:pt idx="23">
                  <c:v>Nebraska</c:v>
                </c:pt>
                <c:pt idx="24">
                  <c:v>Louisiana</c:v>
                </c:pt>
                <c:pt idx="25">
                  <c:v>Vermont</c:v>
                </c:pt>
                <c:pt idx="26">
                  <c:v>Utah</c:v>
                </c:pt>
                <c:pt idx="27">
                  <c:v>Mississippi</c:v>
                </c:pt>
                <c:pt idx="28">
                  <c:v>Nevada</c:v>
                </c:pt>
                <c:pt idx="29">
                  <c:v>Connecticut</c:v>
                </c:pt>
                <c:pt idx="30">
                  <c:v>Arkansas</c:v>
                </c:pt>
                <c:pt idx="31">
                  <c:v>Oklahoma</c:v>
                </c:pt>
                <c:pt idx="32">
                  <c:v>Alabama</c:v>
                </c:pt>
                <c:pt idx="33">
                  <c:v>Missouri</c:v>
                </c:pt>
                <c:pt idx="34">
                  <c:v>Massachusetts</c:v>
                </c:pt>
                <c:pt idx="35">
                  <c:v>Maryland</c:v>
                </c:pt>
                <c:pt idx="36">
                  <c:v>Rhode Island</c:v>
                </c:pt>
                <c:pt idx="37">
                  <c:v>Wisconsin</c:v>
                </c:pt>
                <c:pt idx="38">
                  <c:v>New Jersey</c:v>
                </c:pt>
                <c:pt idx="39">
                  <c:v>Delaware</c:v>
                </c:pt>
                <c:pt idx="40">
                  <c:v>Minnesota</c:v>
                </c:pt>
                <c:pt idx="41">
                  <c:v>Kentucky</c:v>
                </c:pt>
                <c:pt idx="42">
                  <c:v>Georgia</c:v>
                </c:pt>
                <c:pt idx="43">
                  <c:v>Indiana</c:v>
                </c:pt>
                <c:pt idx="44">
                  <c:v>Virginia</c:v>
                </c:pt>
                <c:pt idx="45">
                  <c:v>Michigan</c:v>
                </c:pt>
                <c:pt idx="46">
                  <c:v>Washington</c:v>
                </c:pt>
                <c:pt idx="47">
                  <c:v>New York</c:v>
                </c:pt>
                <c:pt idx="48">
                  <c:v>California</c:v>
                </c:pt>
              </c:strCache>
            </c:strRef>
          </c:cat>
          <c:val>
            <c:numRef>
              <c:f>profitsforeachstate!$C$7:$C$56</c:f>
              <c:numCache>
                <c:formatCode>_-[$$-409]* #,##0.00_ ;_-[$$-409]* \-#,##0.00\ ;_-[$$-409]* "-"??_ ;_-@_ </c:formatCode>
                <c:ptCount val="49"/>
                <c:pt idx="0">
                  <c:v>-25729.356300000003</c:v>
                </c:pt>
                <c:pt idx="1">
                  <c:v>-16971.376599999992</c:v>
                </c:pt>
                <c:pt idx="2">
                  <c:v>-15559.960300000002</c:v>
                </c:pt>
                <c:pt idx="3">
                  <c:v>-12607.886999999993</c:v>
                </c:pt>
                <c:pt idx="4">
                  <c:v>-7490.9122000000116</c:v>
                </c:pt>
                <c:pt idx="5">
                  <c:v>-6527.8578999999909</c:v>
                </c:pt>
                <c:pt idx="6">
                  <c:v>-5341.6936000000042</c:v>
                </c:pt>
                <c:pt idx="7">
                  <c:v>-3427.924599999998</c:v>
                </c:pt>
                <c:pt idx="8">
                  <c:v>-3399.3016999999872</c:v>
                </c:pt>
                <c:pt idx="9">
                  <c:v>-1190.4704999999988</c:v>
                </c:pt>
                <c:pt idx="10">
                  <c:v>100.196</c:v>
                </c:pt>
                <c:pt idx="11">
                  <c:v>185.92159999999998</c:v>
                </c:pt>
                <c:pt idx="12">
                  <c:v>230.1497</c:v>
                </c:pt>
                <c:pt idx="13">
                  <c:v>394.82830000000001</c:v>
                </c:pt>
                <c:pt idx="14">
                  <c:v>454.48620000000005</c:v>
                </c:pt>
                <c:pt idx="15">
                  <c:v>826.72309999999993</c:v>
                </c:pt>
                <c:pt idx="16">
                  <c:v>836.44350000000009</c:v>
                </c:pt>
                <c:pt idx="17">
                  <c:v>1059.5893000000001</c:v>
                </c:pt>
                <c:pt idx="18">
                  <c:v>1157.1161000000002</c:v>
                </c:pt>
                <c:pt idx="19">
                  <c:v>1183.8118999999999</c:v>
                </c:pt>
                <c:pt idx="20">
                  <c:v>1706.5028</c:v>
                </c:pt>
                <c:pt idx="21">
                  <c:v>1769.0565999999999</c:v>
                </c:pt>
                <c:pt idx="22">
                  <c:v>1833.3285000000001</c:v>
                </c:pt>
                <c:pt idx="23">
                  <c:v>2037.0942</c:v>
                </c:pt>
                <c:pt idx="24">
                  <c:v>2196.1023</c:v>
                </c:pt>
                <c:pt idx="25">
                  <c:v>2244.9782999999998</c:v>
                </c:pt>
                <c:pt idx="26">
                  <c:v>2546.5335000000005</c:v>
                </c:pt>
                <c:pt idx="27">
                  <c:v>3172.9762000000001</c:v>
                </c:pt>
                <c:pt idx="28">
                  <c:v>3316.7658999999999</c:v>
                </c:pt>
                <c:pt idx="29">
                  <c:v>3511.4917999999998</c:v>
                </c:pt>
                <c:pt idx="30">
                  <c:v>4008.6871000000006</c:v>
                </c:pt>
                <c:pt idx="31">
                  <c:v>4853.9559999999992</c:v>
                </c:pt>
                <c:pt idx="32">
                  <c:v>5786.8252999999995</c:v>
                </c:pt>
                <c:pt idx="33">
                  <c:v>6436.2104999999992</c:v>
                </c:pt>
                <c:pt idx="34">
                  <c:v>6785.5016000000005</c:v>
                </c:pt>
                <c:pt idx="35">
                  <c:v>7031.1787999999997</c:v>
                </c:pt>
                <c:pt idx="36">
                  <c:v>7285.6293000000005</c:v>
                </c:pt>
                <c:pt idx="37">
                  <c:v>8401.8004000000001</c:v>
                </c:pt>
                <c:pt idx="38">
                  <c:v>9772.9138000000003</c:v>
                </c:pt>
                <c:pt idx="39">
                  <c:v>9977.3748000000014</c:v>
                </c:pt>
                <c:pt idx="40">
                  <c:v>10823.187399999999</c:v>
                </c:pt>
                <c:pt idx="41">
                  <c:v>11199.696600000001</c:v>
                </c:pt>
                <c:pt idx="42">
                  <c:v>16250.043300000001</c:v>
                </c:pt>
                <c:pt idx="43">
                  <c:v>18382.936300000001</c:v>
                </c:pt>
                <c:pt idx="44">
                  <c:v>18597.950399999998</c:v>
                </c:pt>
                <c:pt idx="45">
                  <c:v>24463.187600000005</c:v>
                </c:pt>
                <c:pt idx="46">
                  <c:v>33402.651699999973</c:v>
                </c:pt>
                <c:pt idx="47">
                  <c:v>74038.548599999995</c:v>
                </c:pt>
                <c:pt idx="48">
                  <c:v>76381.387100000065</c:v>
                </c:pt>
              </c:numCache>
            </c:numRef>
          </c:val>
          <c:extLst>
            <c:ext xmlns:c16="http://schemas.microsoft.com/office/drawing/2014/chart" uri="{C3380CC4-5D6E-409C-BE32-E72D297353CC}">
              <c16:uniqueId val="{00000004-FA51-4144-9982-A0E4CBA09B0C}"/>
            </c:ext>
          </c:extLst>
        </c:ser>
        <c:dLbls>
          <c:showLegendKey val="0"/>
          <c:showVal val="0"/>
          <c:showCatName val="0"/>
          <c:showSerName val="0"/>
          <c:showPercent val="0"/>
          <c:showBubbleSize val="0"/>
        </c:dLbls>
        <c:gapWidth val="219"/>
        <c:overlap val="-27"/>
        <c:axId val="583543280"/>
        <c:axId val="1328268079"/>
      </c:barChart>
      <c:catAx>
        <c:axId val="583543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1" i="0" u="none" strike="noStrike" kern="1200" baseline="0">
                <a:solidFill>
                  <a:sysClr val="windowText" lastClr="000000"/>
                </a:solidFill>
                <a:latin typeface="+mn-lt"/>
                <a:ea typeface="+mn-ea"/>
                <a:cs typeface="+mn-cs"/>
              </a:defRPr>
            </a:pPr>
            <a:endParaRPr lang="en-US"/>
          </a:p>
        </c:txPr>
        <c:crossAx val="1328268079"/>
        <c:crosses val="autoZero"/>
        <c:auto val="1"/>
        <c:lblAlgn val="ctr"/>
        <c:lblOffset val="100"/>
        <c:noMultiLvlLbl val="0"/>
      </c:catAx>
      <c:valAx>
        <c:axId val="1328268079"/>
        <c:scaling>
          <c:orientation val="minMax"/>
        </c:scaling>
        <c:delete val="0"/>
        <c:axPos val="l"/>
        <c:majorGridlines>
          <c:spPr>
            <a:ln w="9525" cap="flat" cmpd="sng" algn="ctr">
              <a:solidFill>
                <a:schemeClr val="tx1">
                  <a:lumMod val="15000"/>
                  <a:lumOff val="85000"/>
                </a:schemeClr>
              </a:solidFill>
              <a:round/>
            </a:ln>
            <a:effectLst/>
          </c:spPr>
        </c:majorGridlines>
        <c:numFmt formatCode="_-[$$-409]* #,##0.00_ ;_-[$$-409]* \-#,##0.00\ ;_-[$$-409]* &quot;-&quot;??_ ;_-@_ "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US"/>
          </a:p>
        </c:txPr>
        <c:crossAx val="5835432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[excel assessment draft1.xlsx]sales by state!PivotTable2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chemeClr val="tx1"/>
                </a:solidFill>
              </a:rPr>
              <a:t>Sum of sales for each state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bg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rgbClr val="22FE47"/>
          </a:solidFill>
          <a:ln>
            <a:noFill/>
          </a:ln>
          <a:effectLst/>
        </c:spPr>
      </c:pivotFmt>
      <c:pivotFmt>
        <c:idx val="2"/>
        <c:spPr>
          <a:solidFill>
            <a:srgbClr val="22FE47"/>
          </a:solidFill>
          <a:ln>
            <a:noFill/>
          </a:ln>
          <a:effectLst/>
        </c:spPr>
      </c:pivotFmt>
      <c:pivotFmt>
        <c:idx val="3"/>
        <c:spPr>
          <a:solidFill>
            <a:srgbClr val="FF0000"/>
          </a:solidFill>
          <a:ln>
            <a:noFill/>
          </a:ln>
          <a:effectLst/>
        </c:spPr>
      </c:pivotFmt>
      <c:pivotFmt>
        <c:idx val="4"/>
        <c:spPr>
          <a:solidFill>
            <a:schemeClr val="bg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rgbClr val="FF0000"/>
          </a:solidFill>
          <a:ln>
            <a:noFill/>
          </a:ln>
          <a:effectLst/>
        </c:spPr>
      </c:pivotFmt>
      <c:pivotFmt>
        <c:idx val="6"/>
        <c:spPr>
          <a:solidFill>
            <a:srgbClr val="22FE47"/>
          </a:solidFill>
          <a:ln>
            <a:noFill/>
          </a:ln>
          <a:effectLst/>
        </c:spPr>
      </c:pivotFmt>
      <c:pivotFmt>
        <c:idx val="7"/>
        <c:spPr>
          <a:solidFill>
            <a:srgbClr val="22FE47"/>
          </a:solidFill>
          <a:ln>
            <a:noFill/>
          </a:ln>
          <a:effectLst/>
        </c:spPr>
      </c:pivotFmt>
      <c:pivotFmt>
        <c:idx val="8"/>
        <c:spPr>
          <a:solidFill>
            <a:schemeClr val="bg1">
              <a:lumMod val="75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rgbClr val="FF0000"/>
          </a:solidFill>
          <a:ln>
            <a:noFill/>
          </a:ln>
          <a:effectLst/>
        </c:spPr>
      </c:pivotFmt>
      <c:pivotFmt>
        <c:idx val="10"/>
        <c:spPr>
          <a:solidFill>
            <a:srgbClr val="22FE47"/>
          </a:solidFill>
          <a:ln>
            <a:noFill/>
          </a:ln>
          <a:effectLst/>
        </c:spPr>
      </c:pivotFmt>
      <c:pivotFmt>
        <c:idx val="11"/>
        <c:spPr>
          <a:solidFill>
            <a:srgbClr val="22FE47"/>
          </a:solidFill>
          <a:ln>
            <a:noFill/>
          </a:ln>
          <a:effectLst/>
        </c:spPr>
      </c:pivotFmt>
    </c:pivotFmts>
    <c:plotArea>
      <c:layout/>
      <c:barChart>
        <c:barDir val="col"/>
        <c:grouping val="clustered"/>
        <c:varyColors val="0"/>
        <c:ser>
          <c:idx val="0"/>
          <c:order val="0"/>
          <c:tx>
            <c:strRef>
              <c:f>'sales by state'!$B$2</c:f>
              <c:strCache>
                <c:ptCount val="1"/>
                <c:pt idx="0">
                  <c:v>Total</c:v>
                </c:pt>
              </c:strCache>
            </c:strRef>
          </c:tx>
          <c:spPr>
            <a:solidFill>
              <a:schemeClr val="bg1">
                <a:lumMod val="75000"/>
              </a:schemeClr>
            </a:solidFill>
            <a:ln>
              <a:noFill/>
            </a:ln>
            <a:effectLst/>
          </c:spPr>
          <c:invertIfNegative val="0"/>
          <c:dPt>
            <c:idx val="46"/>
            <c:invertIfNegative val="0"/>
            <c:bubble3D val="0"/>
            <c:spPr>
              <a:solidFill>
                <a:srgbClr val="FF0000"/>
              </a:solidFill>
              <a:ln>
                <a:noFill/>
              </a:ln>
              <a:effectLst/>
            </c:spPr>
            <c:extLst>
              <c:ext xmlns:c16="http://schemas.microsoft.com/office/drawing/2014/chart" uri="{C3380CC4-5D6E-409C-BE32-E72D297353CC}">
                <c16:uniqueId val="{00000001-DD4F-40FD-BCA1-C3D7EE0542F0}"/>
              </c:ext>
            </c:extLst>
          </c:dPt>
          <c:dPt>
            <c:idx val="47"/>
            <c:invertIfNegative val="0"/>
            <c:bubble3D val="0"/>
            <c:spPr>
              <a:solidFill>
                <a:srgbClr val="22FE47"/>
              </a:solidFill>
              <a:ln>
                <a:noFill/>
              </a:ln>
              <a:effectLst/>
            </c:spPr>
            <c:extLst>
              <c:ext xmlns:c16="http://schemas.microsoft.com/office/drawing/2014/chart" uri="{C3380CC4-5D6E-409C-BE32-E72D297353CC}">
                <c16:uniqueId val="{00000003-DD4F-40FD-BCA1-C3D7EE0542F0}"/>
              </c:ext>
            </c:extLst>
          </c:dPt>
          <c:dPt>
            <c:idx val="48"/>
            <c:invertIfNegative val="0"/>
            <c:bubble3D val="0"/>
            <c:spPr>
              <a:solidFill>
                <a:srgbClr val="22FE47"/>
              </a:solidFill>
              <a:ln>
                <a:noFill/>
              </a:ln>
              <a:effectLst/>
            </c:spPr>
            <c:extLst>
              <c:ext xmlns:c16="http://schemas.microsoft.com/office/drawing/2014/chart" uri="{C3380CC4-5D6E-409C-BE32-E72D297353CC}">
                <c16:uniqueId val="{00000005-DD4F-40FD-BCA1-C3D7EE0542F0}"/>
              </c:ext>
            </c:extLst>
          </c:dPt>
          <c:cat>
            <c:strRef>
              <c:f>'sales by state'!$A$3:$A$52</c:f>
              <c:strCache>
                <c:ptCount val="49"/>
                <c:pt idx="0">
                  <c:v>North Dakota</c:v>
                </c:pt>
                <c:pt idx="1">
                  <c:v>West Virginia</c:v>
                </c:pt>
                <c:pt idx="2">
                  <c:v>Maine</c:v>
                </c:pt>
                <c:pt idx="3">
                  <c:v>South Dakota</c:v>
                </c:pt>
                <c:pt idx="4">
                  <c:v>Wyoming</c:v>
                </c:pt>
                <c:pt idx="5">
                  <c:v>District of Columbia</c:v>
                </c:pt>
                <c:pt idx="6">
                  <c:v>Kansas</c:v>
                </c:pt>
                <c:pt idx="7">
                  <c:v>Idaho</c:v>
                </c:pt>
                <c:pt idx="8">
                  <c:v>Iowa</c:v>
                </c:pt>
                <c:pt idx="9">
                  <c:v>New Mexico</c:v>
                </c:pt>
                <c:pt idx="10">
                  <c:v>Montana</c:v>
                </c:pt>
                <c:pt idx="11">
                  <c:v>New Hampshire</c:v>
                </c:pt>
                <c:pt idx="12">
                  <c:v>Nebraska</c:v>
                </c:pt>
                <c:pt idx="13">
                  <c:v>South Carolina</c:v>
                </c:pt>
                <c:pt idx="14">
                  <c:v>Vermont</c:v>
                </c:pt>
                <c:pt idx="15">
                  <c:v>Louisiana</c:v>
                </c:pt>
                <c:pt idx="16">
                  <c:v>Mississippi</c:v>
                </c:pt>
                <c:pt idx="17">
                  <c:v>Utah</c:v>
                </c:pt>
                <c:pt idx="18">
                  <c:v>Arkansas</c:v>
                </c:pt>
                <c:pt idx="19">
                  <c:v>Connecticut</c:v>
                </c:pt>
                <c:pt idx="20">
                  <c:v>Nevada</c:v>
                </c:pt>
                <c:pt idx="21">
                  <c:v>Oregon</c:v>
                </c:pt>
                <c:pt idx="22">
                  <c:v>Alabama</c:v>
                </c:pt>
                <c:pt idx="23">
                  <c:v>Oklahoma</c:v>
                </c:pt>
                <c:pt idx="24">
                  <c:v>Missouri</c:v>
                </c:pt>
                <c:pt idx="25">
                  <c:v>Rhode Island</c:v>
                </c:pt>
                <c:pt idx="26">
                  <c:v>Maryland</c:v>
                </c:pt>
                <c:pt idx="27">
                  <c:v>Delaware</c:v>
                </c:pt>
                <c:pt idx="28">
                  <c:v>Massachusetts</c:v>
                </c:pt>
                <c:pt idx="29">
                  <c:v>Minnesota</c:v>
                </c:pt>
                <c:pt idx="30">
                  <c:v>Tennessee</c:v>
                </c:pt>
                <c:pt idx="31">
                  <c:v>Colorado</c:v>
                </c:pt>
                <c:pt idx="32">
                  <c:v>Wisconsin</c:v>
                </c:pt>
                <c:pt idx="33">
                  <c:v>Arizona</c:v>
                </c:pt>
                <c:pt idx="34">
                  <c:v>New Jersey</c:v>
                </c:pt>
                <c:pt idx="35">
                  <c:v>Kentucky</c:v>
                </c:pt>
                <c:pt idx="36">
                  <c:v>Georgia</c:v>
                </c:pt>
                <c:pt idx="37">
                  <c:v>Indiana</c:v>
                </c:pt>
                <c:pt idx="38">
                  <c:v>North Carolina</c:v>
                </c:pt>
                <c:pt idx="39">
                  <c:v>Virginia</c:v>
                </c:pt>
                <c:pt idx="40">
                  <c:v>Michigan</c:v>
                </c:pt>
                <c:pt idx="41">
                  <c:v>Ohio</c:v>
                </c:pt>
                <c:pt idx="42">
                  <c:v>Illinois</c:v>
                </c:pt>
                <c:pt idx="43">
                  <c:v>Florida</c:v>
                </c:pt>
                <c:pt idx="44">
                  <c:v>Pennsylvania</c:v>
                </c:pt>
                <c:pt idx="45">
                  <c:v>Washington</c:v>
                </c:pt>
                <c:pt idx="46">
                  <c:v>Texas</c:v>
                </c:pt>
                <c:pt idx="47">
                  <c:v>New York</c:v>
                </c:pt>
                <c:pt idx="48">
                  <c:v>California</c:v>
                </c:pt>
              </c:strCache>
            </c:strRef>
          </c:cat>
          <c:val>
            <c:numRef>
              <c:f>'sales by state'!$B$3:$B$52</c:f>
              <c:numCache>
                <c:formatCode>_-[$$-409]* #,##0_ ;_-[$$-409]* \-#,##0\ ;_-[$$-409]* "-"??_ ;_-@_ </c:formatCode>
                <c:ptCount val="49"/>
                <c:pt idx="0">
                  <c:v>919.91</c:v>
                </c:pt>
                <c:pt idx="1">
                  <c:v>1209.8240000000001</c:v>
                </c:pt>
                <c:pt idx="2">
                  <c:v>1270.5300000000002</c:v>
                </c:pt>
                <c:pt idx="3">
                  <c:v>1315.5600000000002</c:v>
                </c:pt>
                <c:pt idx="4">
                  <c:v>1603.136</c:v>
                </c:pt>
                <c:pt idx="5">
                  <c:v>2865.0199999999995</c:v>
                </c:pt>
                <c:pt idx="6">
                  <c:v>2914.31</c:v>
                </c:pt>
                <c:pt idx="7">
                  <c:v>4382.4860000000017</c:v>
                </c:pt>
                <c:pt idx="8">
                  <c:v>4579.7599999999993</c:v>
                </c:pt>
                <c:pt idx="9">
                  <c:v>4783.521999999999</c:v>
                </c:pt>
                <c:pt idx="10">
                  <c:v>5589.3519999999971</c:v>
                </c:pt>
                <c:pt idx="11">
                  <c:v>7292.5239999999994</c:v>
                </c:pt>
                <c:pt idx="12">
                  <c:v>7464.9299999999985</c:v>
                </c:pt>
                <c:pt idx="13">
                  <c:v>8481.7099999999991</c:v>
                </c:pt>
                <c:pt idx="14">
                  <c:v>8929.369999999999</c:v>
                </c:pt>
                <c:pt idx="15">
                  <c:v>9217.0299999999988</c:v>
                </c:pt>
                <c:pt idx="16">
                  <c:v>10771.34</c:v>
                </c:pt>
                <c:pt idx="17">
                  <c:v>11220.055999999999</c:v>
                </c:pt>
                <c:pt idx="18">
                  <c:v>11678.129999999997</c:v>
                </c:pt>
                <c:pt idx="19">
                  <c:v>13384.356999999996</c:v>
                </c:pt>
                <c:pt idx="20">
                  <c:v>16729.101999999999</c:v>
                </c:pt>
                <c:pt idx="21">
                  <c:v>17431.149999999991</c:v>
                </c:pt>
                <c:pt idx="22">
                  <c:v>19510.639999999992</c:v>
                </c:pt>
                <c:pt idx="23">
                  <c:v>19683.39</c:v>
                </c:pt>
                <c:pt idx="24">
                  <c:v>22205.149999999998</c:v>
                </c:pt>
                <c:pt idx="25">
                  <c:v>22627.955999999995</c:v>
                </c:pt>
                <c:pt idx="26">
                  <c:v>23705.523000000001</c:v>
                </c:pt>
                <c:pt idx="27">
                  <c:v>27451.068999999992</c:v>
                </c:pt>
                <c:pt idx="28">
                  <c:v>28634.433999999994</c:v>
                </c:pt>
                <c:pt idx="29">
                  <c:v>29863.149999999994</c:v>
                </c:pt>
                <c:pt idx="30">
                  <c:v>30661.872999999981</c:v>
                </c:pt>
                <c:pt idx="31">
                  <c:v>32108.117999999995</c:v>
                </c:pt>
                <c:pt idx="32">
                  <c:v>32114.610000000019</c:v>
                </c:pt>
                <c:pt idx="33">
                  <c:v>35282.000999999997</c:v>
                </c:pt>
                <c:pt idx="34">
                  <c:v>35764.312000000013</c:v>
                </c:pt>
                <c:pt idx="35">
                  <c:v>36591.749999999971</c:v>
                </c:pt>
                <c:pt idx="36">
                  <c:v>49095.840000000004</c:v>
                </c:pt>
                <c:pt idx="37">
                  <c:v>53555.360000000001</c:v>
                </c:pt>
                <c:pt idx="38">
                  <c:v>55603.163999999968</c:v>
                </c:pt>
                <c:pt idx="39">
                  <c:v>70636.719999999987</c:v>
                </c:pt>
                <c:pt idx="40">
                  <c:v>76269.614000000016</c:v>
                </c:pt>
                <c:pt idx="41">
                  <c:v>78258.135999999926</c:v>
                </c:pt>
                <c:pt idx="42">
                  <c:v>80166.100999999864</c:v>
                </c:pt>
                <c:pt idx="43">
                  <c:v>89473.707999999999</c:v>
                </c:pt>
                <c:pt idx="44">
                  <c:v>116511.91400000003</c:v>
                </c:pt>
                <c:pt idx="45">
                  <c:v>138641.26999999993</c:v>
                </c:pt>
                <c:pt idx="46">
                  <c:v>170188.04580000002</c:v>
                </c:pt>
                <c:pt idx="47">
                  <c:v>310876.27099999978</c:v>
                </c:pt>
                <c:pt idx="48">
                  <c:v>457687.63150000101</c:v>
                </c:pt>
              </c:numCache>
            </c:numRef>
          </c:val>
          <c:extLst>
            <c:ext xmlns:c16="http://schemas.microsoft.com/office/drawing/2014/chart" uri="{C3380CC4-5D6E-409C-BE32-E72D297353CC}">
              <c16:uniqueId val="{00000006-DD4F-40FD-BCA1-C3D7EE0542F0}"/>
            </c:ext>
          </c:extLst>
        </c:ser>
        <c:dLbls>
          <c:showLegendKey val="0"/>
          <c:showVal val="0"/>
          <c:showCatName val="0"/>
          <c:showSerName val="0"/>
          <c:showPercent val="0"/>
          <c:showBubbleSize val="0"/>
        </c:dLbls>
        <c:gapWidth val="219"/>
        <c:overlap val="-27"/>
        <c:axId val="1362874272"/>
        <c:axId val="2073905711"/>
      </c:barChart>
      <c:catAx>
        <c:axId val="1362874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mn-lt"/>
                <a:ea typeface="+mn-ea"/>
                <a:cs typeface="+mn-cs"/>
              </a:defRPr>
            </a:pPr>
            <a:endParaRPr lang="en-US"/>
          </a:p>
        </c:txPr>
        <c:crossAx val="2073905711"/>
        <c:crosses val="autoZero"/>
        <c:auto val="1"/>
        <c:lblAlgn val="ctr"/>
        <c:lblOffset val="100"/>
        <c:noMultiLvlLbl val="0"/>
      </c:catAx>
      <c:valAx>
        <c:axId val="2073905711"/>
        <c:scaling>
          <c:orientation val="minMax"/>
        </c:scaling>
        <c:delete val="0"/>
        <c:axPos val="l"/>
        <c:majorGridlines>
          <c:spPr>
            <a:ln w="9525" cap="flat" cmpd="sng" algn="ctr">
              <a:solidFill>
                <a:schemeClr val="tx1">
                  <a:lumMod val="15000"/>
                  <a:lumOff val="85000"/>
                </a:schemeClr>
              </a:solidFill>
              <a:round/>
            </a:ln>
            <a:effectLst/>
          </c:spPr>
        </c:majorGridlines>
        <c:numFmt formatCode="_-[$$-409]* #,##0_ ;_-[$$-409]* \-#,##0\ ;_-[$$-409]* &quot;-&quot;??_ ;_-@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3628742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[excel assessment draft1.xlsx]sumofdiscountsperstate!PivotTable1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ysClr val="windowText" lastClr="000000"/>
                </a:solidFill>
              </a:rPr>
              <a:t>Sum of discounts given per state</a:t>
            </a:r>
          </a:p>
          <a:p>
            <a:pPr>
              <a:defRPr/>
            </a:pPr>
            <a:endParaRPr lang="en-US" b="1">
              <a:solidFill>
                <a:sysClr val="windowText" lastClr="000000"/>
              </a:solidFill>
            </a:endParaRPr>
          </a:p>
          <a:p>
            <a:pPr>
              <a:defRPr/>
            </a:pPr>
            <a:r>
              <a:rPr lang="en-US" b="1">
                <a:solidFill>
                  <a:sysClr val="windowText" lastClr="000000"/>
                </a:solidFill>
              </a:rPr>
              <a:t>Texas is the state with the highest amount of discounts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6">
              <a:lumMod val="60000"/>
              <a:lumOff val="40000"/>
            </a:schemeClr>
          </a:solidFill>
          <a:ln>
            <a:noFill/>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rgbClr val="FF0000"/>
          </a:solidFill>
          <a:ln>
            <a:noFill/>
          </a:ln>
          <a:effectLst/>
        </c:spPr>
      </c:pivotFmt>
      <c:pivotFmt>
        <c:idx val="2"/>
        <c:spPr>
          <a:solidFill>
            <a:schemeClr val="accent6">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rgbClr val="FF0000"/>
          </a:solidFill>
          <a:ln>
            <a:noFill/>
          </a:ln>
          <a:effectLst/>
        </c:spPr>
      </c:pivotFmt>
      <c:pivotFmt>
        <c:idx val="4"/>
        <c:spPr>
          <a:solidFill>
            <a:schemeClr val="accent6">
              <a:lumMod val="60000"/>
              <a:lumOff val="40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rgbClr val="FF0000"/>
          </a:solidFill>
          <a:ln>
            <a:noFill/>
          </a:ln>
          <a:effectLst/>
        </c:spPr>
      </c:pivotFmt>
    </c:pivotFmts>
    <c:plotArea>
      <c:layout/>
      <c:barChart>
        <c:barDir val="bar"/>
        <c:grouping val="clustered"/>
        <c:varyColors val="0"/>
        <c:ser>
          <c:idx val="0"/>
          <c:order val="0"/>
          <c:tx>
            <c:strRef>
              <c:f>sumofdiscountsperstate!$B$2</c:f>
              <c:strCache>
                <c:ptCount val="1"/>
                <c:pt idx="0">
                  <c:v>Total</c:v>
                </c:pt>
              </c:strCache>
            </c:strRef>
          </c:tx>
          <c:spPr>
            <a:solidFill>
              <a:schemeClr val="accent6">
                <a:lumMod val="60000"/>
                <a:lumOff val="40000"/>
              </a:schemeClr>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7FE2-4D40-A494-383568DA1DAC}"/>
              </c:ext>
            </c:extLst>
          </c:dPt>
          <c:cat>
            <c:strRef>
              <c:f>sumofdiscountsperstate!$A$3:$A$52</c:f>
              <c:strCache>
                <c:ptCount val="49"/>
                <c:pt idx="0">
                  <c:v>Texas</c:v>
                </c:pt>
                <c:pt idx="1">
                  <c:v>Pennsylvania</c:v>
                </c:pt>
                <c:pt idx="2">
                  <c:v>Illinois</c:v>
                </c:pt>
                <c:pt idx="3">
                  <c:v>Ohio</c:v>
                </c:pt>
                <c:pt idx="4">
                  <c:v>California</c:v>
                </c:pt>
                <c:pt idx="5">
                  <c:v>Florida</c:v>
                </c:pt>
                <c:pt idx="6">
                  <c:v>North Carolina</c:v>
                </c:pt>
                <c:pt idx="7">
                  <c:v>Arizona</c:v>
                </c:pt>
                <c:pt idx="8">
                  <c:v>New York</c:v>
                </c:pt>
                <c:pt idx="9">
                  <c:v>Colorado</c:v>
                </c:pt>
                <c:pt idx="10">
                  <c:v>Tennessee</c:v>
                </c:pt>
                <c:pt idx="11">
                  <c:v>Oregon</c:v>
                </c:pt>
                <c:pt idx="12">
                  <c:v>Washington</c:v>
                </c:pt>
                <c:pt idx="13">
                  <c:v>Utah</c:v>
                </c:pt>
                <c:pt idx="14">
                  <c:v>Nevada</c:v>
                </c:pt>
                <c:pt idx="15">
                  <c:v>New Mexico</c:v>
                </c:pt>
                <c:pt idx="16">
                  <c:v>Massachusetts</c:v>
                </c:pt>
                <c:pt idx="17">
                  <c:v>Michigan</c:v>
                </c:pt>
                <c:pt idx="18">
                  <c:v>Idaho</c:v>
                </c:pt>
                <c:pt idx="19">
                  <c:v>Rhode Island</c:v>
                </c:pt>
                <c:pt idx="20">
                  <c:v>Montana</c:v>
                </c:pt>
                <c:pt idx="21">
                  <c:v>Maryland</c:v>
                </c:pt>
                <c:pt idx="22">
                  <c:v>Connecticut</c:v>
                </c:pt>
                <c:pt idx="23">
                  <c:v>New Jersey</c:v>
                </c:pt>
                <c:pt idx="24">
                  <c:v>Delaware</c:v>
                </c:pt>
                <c:pt idx="25">
                  <c:v>New Hampshire</c:v>
                </c:pt>
                <c:pt idx="26">
                  <c:v>West Virginia</c:v>
                </c:pt>
                <c:pt idx="27">
                  <c:v>Wyoming</c:v>
                </c:pt>
                <c:pt idx="28">
                  <c:v>South Carolina</c:v>
                </c:pt>
                <c:pt idx="29">
                  <c:v>Kentucky</c:v>
                </c:pt>
                <c:pt idx="30">
                  <c:v>Maine</c:v>
                </c:pt>
                <c:pt idx="31">
                  <c:v>Georgia</c:v>
                </c:pt>
                <c:pt idx="32">
                  <c:v>Mississippi</c:v>
                </c:pt>
                <c:pt idx="33">
                  <c:v>Kansas</c:v>
                </c:pt>
                <c:pt idx="34">
                  <c:v>Missouri</c:v>
                </c:pt>
                <c:pt idx="35">
                  <c:v>Louisiana</c:v>
                </c:pt>
                <c:pt idx="36">
                  <c:v>Alabama</c:v>
                </c:pt>
                <c:pt idx="37">
                  <c:v>South Dakota</c:v>
                </c:pt>
                <c:pt idx="38">
                  <c:v>District of Columbia</c:v>
                </c:pt>
                <c:pt idx="39">
                  <c:v>Nebraska</c:v>
                </c:pt>
                <c:pt idx="40">
                  <c:v>Virginia</c:v>
                </c:pt>
                <c:pt idx="41">
                  <c:v>Vermont</c:v>
                </c:pt>
                <c:pt idx="42">
                  <c:v>Indiana</c:v>
                </c:pt>
                <c:pt idx="43">
                  <c:v>Arkansas</c:v>
                </c:pt>
                <c:pt idx="44">
                  <c:v>North Dakota</c:v>
                </c:pt>
                <c:pt idx="45">
                  <c:v>Wisconsin</c:v>
                </c:pt>
                <c:pt idx="46">
                  <c:v>Iowa</c:v>
                </c:pt>
                <c:pt idx="47">
                  <c:v>Minnesota</c:v>
                </c:pt>
                <c:pt idx="48">
                  <c:v>Oklahoma</c:v>
                </c:pt>
              </c:strCache>
            </c:strRef>
          </c:cat>
          <c:val>
            <c:numRef>
              <c:f>sumofdiscountsperstate!$B$3:$B$52</c:f>
              <c:numCache>
                <c:formatCode>0.0</c:formatCode>
                <c:ptCount val="49"/>
                <c:pt idx="0">
                  <c:v>364.63999999999413</c:v>
                </c:pt>
                <c:pt idx="1">
                  <c:v>192.89999999999691</c:v>
                </c:pt>
                <c:pt idx="2">
                  <c:v>191.89999999999688</c:v>
                </c:pt>
                <c:pt idx="3">
                  <c:v>152.39999999999941</c:v>
                </c:pt>
                <c:pt idx="4">
                  <c:v>145.60000000000102</c:v>
                </c:pt>
                <c:pt idx="5">
                  <c:v>114.65000000000092</c:v>
                </c:pt>
                <c:pt idx="6">
                  <c:v>70.600000000000506</c:v>
                </c:pt>
                <c:pt idx="7">
                  <c:v>68.000000000000469</c:v>
                </c:pt>
                <c:pt idx="8">
                  <c:v>62.400000000000361</c:v>
                </c:pt>
                <c:pt idx="9">
                  <c:v>57.600000000000335</c:v>
                </c:pt>
                <c:pt idx="10">
                  <c:v>53.300000000000253</c:v>
                </c:pt>
                <c:pt idx="11">
                  <c:v>35.79999999999999</c:v>
                </c:pt>
                <c:pt idx="12">
                  <c:v>32.39999999999992</c:v>
                </c:pt>
                <c:pt idx="13">
                  <c:v>3.2000000000000006</c:v>
                </c:pt>
                <c:pt idx="14">
                  <c:v>2.4</c:v>
                </c:pt>
                <c:pt idx="15">
                  <c:v>2.1999999999999997</c:v>
                </c:pt>
                <c:pt idx="16">
                  <c:v>2.1</c:v>
                </c:pt>
                <c:pt idx="17">
                  <c:v>1.8000000000000005</c:v>
                </c:pt>
                <c:pt idx="18">
                  <c:v>1.7999999999999998</c:v>
                </c:pt>
                <c:pt idx="19">
                  <c:v>1.2</c:v>
                </c:pt>
                <c:pt idx="20">
                  <c:v>1</c:v>
                </c:pt>
                <c:pt idx="21">
                  <c:v>0.6</c:v>
                </c:pt>
                <c:pt idx="22">
                  <c:v>0.6</c:v>
                </c:pt>
                <c:pt idx="23">
                  <c:v>0.6</c:v>
                </c:pt>
                <c:pt idx="24">
                  <c:v>0.6</c:v>
                </c:pt>
                <c:pt idx="25">
                  <c:v>0.3</c:v>
                </c:pt>
                <c:pt idx="26">
                  <c:v>0.3</c:v>
                </c:pt>
                <c:pt idx="27">
                  <c:v>0.2</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numCache>
            </c:numRef>
          </c:val>
          <c:extLst>
            <c:ext xmlns:c16="http://schemas.microsoft.com/office/drawing/2014/chart" uri="{C3380CC4-5D6E-409C-BE32-E72D297353CC}">
              <c16:uniqueId val="{00000002-7FE2-4D40-A494-383568DA1DAC}"/>
            </c:ext>
          </c:extLst>
        </c:ser>
        <c:dLbls>
          <c:showLegendKey val="0"/>
          <c:showVal val="0"/>
          <c:showCatName val="0"/>
          <c:showSerName val="0"/>
          <c:showPercent val="0"/>
          <c:showBubbleSize val="0"/>
        </c:dLbls>
        <c:gapWidth val="182"/>
        <c:axId val="1290340383"/>
        <c:axId val="2073930671"/>
      </c:barChart>
      <c:catAx>
        <c:axId val="1290340383"/>
        <c:scaling>
          <c:orientation val="maxMin"/>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GB">
                    <a:solidFill>
                      <a:sysClr val="windowText" lastClr="000000"/>
                    </a:solidFill>
                  </a:rPr>
                  <a:t>State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2073930671"/>
        <c:crosses val="autoZero"/>
        <c:auto val="1"/>
        <c:lblAlgn val="ctr"/>
        <c:lblOffset val="100"/>
        <c:noMultiLvlLbl val="0"/>
      </c:catAx>
      <c:valAx>
        <c:axId val="20739306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GB">
                    <a:solidFill>
                      <a:sysClr val="windowText" lastClr="000000"/>
                    </a:solidFill>
                  </a:rPr>
                  <a:t>Discount</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290340383"/>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[excel dashboard draft 9.xlsx]profits&amp;lossesforeachdiscount!PivotTable2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ysClr val="windowText" lastClr="000000"/>
                </a:solidFill>
              </a:rPr>
              <a:t>Profits and</a:t>
            </a:r>
            <a:r>
              <a:rPr lang="en-US" b="1" baseline="0">
                <a:solidFill>
                  <a:sysClr val="windowText" lastClr="000000"/>
                </a:solidFill>
              </a:rPr>
              <a:t> losses for each discount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CC99FF"/>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rgbClr val="CC99FF"/>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CC99FF"/>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'profits&amp;lossesforeachdiscount'!$B$1</c:f>
              <c:strCache>
                <c:ptCount val="1"/>
                <c:pt idx="0">
                  <c:v>Total</c:v>
                </c:pt>
              </c:strCache>
            </c:strRef>
          </c:tx>
          <c:spPr>
            <a:solidFill>
              <a:srgbClr val="CC99FF"/>
            </a:solidFill>
            <a:ln>
              <a:noFill/>
            </a:ln>
            <a:effectLst/>
          </c:spPr>
          <c:invertIfNegative val="0"/>
          <c:cat>
            <c:strRef>
              <c:f>'profits&amp;lossesforeachdiscount'!$A$2:$A$14</c:f>
              <c:strCache>
                <c:ptCount val="12"/>
                <c:pt idx="0">
                  <c:v>0</c:v>
                </c:pt>
                <c:pt idx="1">
                  <c:v>0.1</c:v>
                </c:pt>
                <c:pt idx="2">
                  <c:v>0.15</c:v>
                </c:pt>
                <c:pt idx="3">
                  <c:v>0.2</c:v>
                </c:pt>
                <c:pt idx="4">
                  <c:v>0.3</c:v>
                </c:pt>
                <c:pt idx="5">
                  <c:v>0.32</c:v>
                </c:pt>
                <c:pt idx="6">
                  <c:v>0.4</c:v>
                </c:pt>
                <c:pt idx="7">
                  <c:v>0.45</c:v>
                </c:pt>
                <c:pt idx="8">
                  <c:v>0.5</c:v>
                </c:pt>
                <c:pt idx="9">
                  <c:v>0.6</c:v>
                </c:pt>
                <c:pt idx="10">
                  <c:v>0.7</c:v>
                </c:pt>
                <c:pt idx="11">
                  <c:v>0.8</c:v>
                </c:pt>
              </c:strCache>
            </c:strRef>
          </c:cat>
          <c:val>
            <c:numRef>
              <c:f>'profits&amp;lossesforeachdiscount'!$B$2:$B$14</c:f>
              <c:numCache>
                <c:formatCode>_-[$$-409]* #,##0_ ;_-[$$-409]* \-#,##0\ ;_-[$$-409]* "-"??_ ;_-@_ </c:formatCode>
                <c:ptCount val="12"/>
                <c:pt idx="0">
                  <c:v>320987.60319999995</c:v>
                </c:pt>
                <c:pt idx="1">
                  <c:v>9029.1769999999979</c:v>
                </c:pt>
                <c:pt idx="2">
                  <c:v>1418.9915000000001</c:v>
                </c:pt>
                <c:pt idx="3">
                  <c:v>90337.306000000099</c:v>
                </c:pt>
                <c:pt idx="4">
                  <c:v>-10369.277400000001</c:v>
                </c:pt>
                <c:pt idx="5">
                  <c:v>-2391.1376999999993</c:v>
                </c:pt>
                <c:pt idx="6">
                  <c:v>-23057.050400000007</c:v>
                </c:pt>
                <c:pt idx="7">
                  <c:v>-2493.1111000000001</c:v>
                </c:pt>
                <c:pt idx="8">
                  <c:v>-20506.428100000005</c:v>
                </c:pt>
                <c:pt idx="9">
                  <c:v>-5944.6551999999992</c:v>
                </c:pt>
                <c:pt idx="10">
                  <c:v>-40075.356899999926</c:v>
                </c:pt>
                <c:pt idx="11">
                  <c:v>-30539.039199999956</c:v>
                </c:pt>
              </c:numCache>
            </c:numRef>
          </c:val>
          <c:extLst>
            <c:ext xmlns:c16="http://schemas.microsoft.com/office/drawing/2014/chart" uri="{C3380CC4-5D6E-409C-BE32-E72D297353CC}">
              <c16:uniqueId val="{00000000-A6FD-4C03-BB0C-768E0F05F1FA}"/>
            </c:ext>
          </c:extLst>
        </c:ser>
        <c:dLbls>
          <c:showLegendKey val="0"/>
          <c:showVal val="0"/>
          <c:showCatName val="0"/>
          <c:showSerName val="0"/>
          <c:showPercent val="0"/>
          <c:showBubbleSize val="0"/>
        </c:dLbls>
        <c:gapWidth val="219"/>
        <c:overlap val="-27"/>
        <c:axId val="1167568800"/>
        <c:axId val="1888141328"/>
      </c:barChart>
      <c:catAx>
        <c:axId val="1167568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8141328"/>
        <c:crosses val="autoZero"/>
        <c:auto val="1"/>
        <c:lblAlgn val="ctr"/>
        <c:lblOffset val="100"/>
        <c:noMultiLvlLbl val="0"/>
      </c:catAx>
      <c:valAx>
        <c:axId val="1888141328"/>
        <c:scaling>
          <c:orientation val="minMax"/>
        </c:scaling>
        <c:delete val="0"/>
        <c:axPos val="l"/>
        <c:majorGridlines>
          <c:spPr>
            <a:ln w="9525" cap="flat" cmpd="sng" algn="ctr">
              <a:solidFill>
                <a:schemeClr val="tx1">
                  <a:lumMod val="15000"/>
                  <a:lumOff val="85000"/>
                </a:schemeClr>
              </a:solidFill>
              <a:round/>
            </a:ln>
            <a:effectLst/>
          </c:spPr>
        </c:majorGridlines>
        <c:numFmt formatCode="_-[$$-409]* #,##0_ ;_-[$$-409]* \-#,##0\ ;_-[$$-409]* &quot;-&quot;??_ ;_-@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75688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7">
  <a:schemeClr val="accent4"/>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4ADA72F3297B45AF2FA89933CE8329" ma:contentTypeVersion="11" ma:contentTypeDescription="Create a new document." ma:contentTypeScope="" ma:versionID="9b18ee633c4a2d4627339eb4b95bd425">
  <xsd:schema xmlns:xsd="http://www.w3.org/2001/XMLSchema" xmlns:xs="http://www.w3.org/2001/XMLSchema" xmlns:p="http://schemas.microsoft.com/office/2006/metadata/properties" xmlns:ns3="c3bc3fae-b2cf-41e5-b549-9e65ec6e0e28" xmlns:ns4="c2e51b2f-dfb4-4f10-a146-9b5d02e0e410" targetNamespace="http://schemas.microsoft.com/office/2006/metadata/properties" ma:root="true" ma:fieldsID="a39402e7d07d588fe5a14ac8a5ecd4e1" ns3:_="" ns4:_="">
    <xsd:import namespace="c3bc3fae-b2cf-41e5-b549-9e65ec6e0e28"/>
    <xsd:import namespace="c2e51b2f-dfb4-4f10-a146-9b5d02e0e41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bc3fae-b2cf-41e5-b549-9e65ec6e0e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e51b2f-dfb4-4f10-a146-9b5d02e0e41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c3bc3fae-b2cf-41e5-b549-9e65ec6e0e2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D16ADC-E8A5-4E63-B53C-A7E180B78D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bc3fae-b2cf-41e5-b549-9e65ec6e0e28"/>
    <ds:schemaRef ds:uri="c2e51b2f-dfb4-4f10-a146-9b5d02e0e4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496B37-79D0-44E2-B2B9-F6740F391AE6}">
  <ds:schemaRefs>
    <ds:schemaRef ds:uri="http://schemas.openxmlformats.org/officeDocument/2006/bibliography"/>
  </ds:schemaRefs>
</ds:datastoreItem>
</file>

<file path=customXml/itemProps3.xml><?xml version="1.0" encoding="utf-8"?>
<ds:datastoreItem xmlns:ds="http://schemas.openxmlformats.org/officeDocument/2006/customXml" ds:itemID="{67B87DF6-B5DB-48C3-8407-E2D72C95E658}">
  <ds:schemaRefs>
    <ds:schemaRef ds:uri="http://schemas.microsoft.com/office/2006/metadata/properties"/>
    <ds:schemaRef ds:uri="http://schemas.microsoft.com/office/infopath/2007/PartnerControls"/>
    <ds:schemaRef ds:uri="c3bc3fae-b2cf-41e5-b549-9e65ec6e0e28"/>
  </ds:schemaRefs>
</ds:datastoreItem>
</file>

<file path=customXml/itemProps4.xml><?xml version="1.0" encoding="utf-8"?>
<ds:datastoreItem xmlns:ds="http://schemas.openxmlformats.org/officeDocument/2006/customXml" ds:itemID="{1CBCC6ED-63DC-45A9-ACDB-1D4CB25EEBF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1259</Words>
  <Characters>7182</Characters>
  <Application>Microsoft Office Word</Application>
  <DocSecurity>0</DocSecurity>
  <Lines>59</Lines>
  <Paragraphs>16</Paragraphs>
  <ScaleCrop>false</ScaleCrop>
  <Company/>
  <LinksUpToDate>false</LinksUpToDate>
  <CharactersWithSpaces>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Farimah Beigi</dc:creator>
  <cp:keywords/>
  <dc:description/>
  <cp:lastModifiedBy>Farimah Beigi</cp:lastModifiedBy>
  <cp:revision>2</cp:revision>
  <dcterms:created xsi:type="dcterms:W3CDTF">2023-12-04T23:32:00Z</dcterms:created>
  <dcterms:modified xsi:type="dcterms:W3CDTF">2023-12-04T23:32:00Z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0x010100C54ADA72F3297B45AF2FA89933CE8329</vt:lpwstr>
  </property>
</Properties>
</file>