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8"/>
          <w:szCs w:val="48"/>
        </w:rPr>
        <w:t xml:space="preserve">Perjalanan Data Kredit Komersial</w:t>
      </w:r>
    </w:p>
    <w:p>
      <w:pPr>
        <w:spacing w:after="300"/>
      </w:pPr>
      <w:r>
        <w:rPr>
          <w:i/>
          <w:iCs/>
          <w:color w:val="B8860B"/>
          <w:sz w:val="28"/>
          <w:szCs w:val="28"/>
        </w:rPr>
        <w:t xml:space="preserve">Dari Data Mentah Sampai Siap Dipakai Model AI</w:t>
      </w:r>
    </w:p>
    <w:p>
      <w:pPr>
        <w:spacing w:after="160"/>
      </w:pPr>
      <w:r>
        <w:t xml:space="preserve">Dokumen ini menjelaskan, dengan bahasa yang sederhana, apa yang terjadi pada data mulai dari file mentah pertama kali masuk sampai data itu siap dipakai untuk melatih model AI (prediksi gagal bayar, deteksi dini, dan lainnya). Untuk detail teknis dan istilah kolom yang presisi, lihat data-lineage.md dan serah-terima-data-scientist.md di folder docs/.</w:t>
      </w:r>
    </w:p>
    <w:p>
      <w:pPr>
        <w:pStyle w:val="Heading1"/>
        <w:spacing w:after="160" w:before="360"/>
      </w:pPr>
      <w:r>
        <w:t xml:space="preserve">Gambaran Besar: Seperti Dapur Restoran</w:t>
      </w:r>
    </w:p>
    <w:p>
      <w:pPr>
        <w:spacing w:after="160"/>
      </w:pPr>
      <w:r>
        <w:t xml:space="preserve">Bayangkan proses ini seperti dapur restoran besar. Bahan mentah (sayur, daging, bumbu dari berbagai pemasok) datang dalam kondisi apa adanya. Sebelum jadi hidangan, bahan itu harus dicuci, dipotong, diracik, dimasak, dicicipi, baru disajikan. Pipeline data ini punya empat "ruang dapur" yang berurutan:</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900"/>
        <w:gridCol w:w="2900"/>
        <w:gridCol w:w="2500"/>
      </w:tblGrid>
      <w:tr>
        <w:trPr>
          <w:tblHeader/>
        </w:trPr>
        <w:tc>
          <w:tcPr>
            <w:tcW w:type="dxa" w:w="1300"/>
            <w:shd w:fill="1F4E5F" w:val="clear"/>
            <w:tcMar>
              <w:top w:type="dxa" w:w="80"/>
              <w:left w:type="dxa" w:w="100"/>
              <w:bottom w:type="dxa" w:w="80"/>
              <w:right w:type="dxa" w:w="100"/>
            </w:tcMar>
          </w:tcPr>
          <w:p>
            <w:r>
              <w:rPr>
                <w:b/>
                <w:bCs/>
                <w:color w:val="FFFFFF"/>
              </w:rPr>
              <w:t xml:space="preserve">Tahap</w:t>
            </w:r>
          </w:p>
        </w:tc>
        <w:tc>
          <w:tcPr>
            <w:tcW w:type="dxa" w:w="2200"/>
            <w:shd w:fill="1F4E5F" w:val="clear"/>
            <w:tcMar>
              <w:top w:type="dxa" w:w="80"/>
              <w:left w:type="dxa" w:w="100"/>
              <w:bottom w:type="dxa" w:w="80"/>
              <w:right w:type="dxa" w:w="100"/>
            </w:tcMar>
          </w:tcPr>
          <w:p>
            <w:r>
              <w:rPr>
                <w:b/>
                <w:bCs/>
                <w:color w:val="FFFFFF"/>
              </w:rPr>
              <w:t xml:space="preserve">Ibaratnya di dapur</w:t>
            </w:r>
          </w:p>
        </w:tc>
        <w:tc>
          <w:tcPr>
            <w:tcW w:type="dxa" w:w="2900"/>
            <w:shd w:fill="1F4E5F" w:val="clear"/>
            <w:tcMar>
              <w:top w:type="dxa" w:w="80"/>
              <w:left w:type="dxa" w:w="100"/>
              <w:bottom w:type="dxa" w:w="80"/>
              <w:right w:type="dxa" w:w="100"/>
            </w:tcMar>
          </w:tcPr>
          <w:p>
            <w:r>
              <w:rPr>
                <w:b/>
                <w:bCs/>
                <w:color w:val="FFFFFF"/>
              </w:rPr>
              <w:t xml:space="preserve">Data masuk</w:t>
            </w:r>
          </w:p>
        </w:tc>
        <w:tc>
          <w:tcPr>
            <w:tcW w:type="dxa" w:w="2900"/>
            <w:shd w:fill="1F4E5F" w:val="clear"/>
            <w:tcMar>
              <w:top w:type="dxa" w:w="80"/>
              <w:left w:type="dxa" w:w="100"/>
              <w:bottom w:type="dxa" w:w="80"/>
              <w:right w:type="dxa" w:w="100"/>
            </w:tcMar>
          </w:tcPr>
          <w:p>
            <w:r>
              <w:rPr>
                <w:b/>
                <w:bCs/>
                <w:color w:val="FFFFFF"/>
              </w:rPr>
              <w:t xml:space="preserve">Data keluar</w:t>
            </w:r>
          </w:p>
        </w:tc>
        <w:tc>
          <w:tcPr>
            <w:tcW w:type="dxa" w:w="2500"/>
            <w:shd w:fill="1F4E5F" w:val="clear"/>
            <w:tcMar>
              <w:top w:type="dxa" w:w="80"/>
              <w:left w:type="dxa" w:w="100"/>
              <w:bottom w:type="dxa" w:w="80"/>
              <w:right w:type="dxa" w:w="100"/>
            </w:tcMar>
          </w:tcPr>
          <w:p>
            <w:r>
              <w:rPr>
                <w:b/>
                <w:bCs/>
                <w:color w:val="FFFFFF"/>
              </w:rPr>
              <w:t xml:space="preserve">Intinya</w:t>
            </w:r>
          </w:p>
        </w:tc>
      </w:tr>
      <w:tr>
        <w:tc>
          <w:tcPr>
            <w:tcW w:type="dxa" w:w="1300"/>
            <w:tcMar>
              <w:top w:type="dxa" w:w="80"/>
              <w:left w:type="dxa" w:w="100"/>
              <w:bottom w:type="dxa" w:w="80"/>
              <w:right w:type="dxa" w:w="100"/>
            </w:tcMar>
          </w:tcPr>
          <w:p>
            <w:r>
              <w:rPr>
                <w:b w:val="false"/>
                <w:bCs w:val="false"/>
              </w:rPr>
              <w:t xml:space="preserve">Bronze</w:t>
            </w:r>
          </w:p>
        </w:tc>
        <w:tc>
          <w:tcPr>
            <w:tcW w:type="dxa" w:w="2200"/>
            <w:tcMar>
              <w:top w:type="dxa" w:w="80"/>
              <w:left w:type="dxa" w:w="100"/>
              <w:bottom w:type="dxa" w:w="80"/>
              <w:right w:type="dxa" w:w="100"/>
            </w:tcMar>
          </w:tcPr>
          <w:p>
            <w:r>
              <w:rPr>
                <w:b w:val="false"/>
                <w:bCs w:val="false"/>
              </w:rPr>
              <w:t xml:space="preserve">Bahan mentah masuk gudang</w:t>
            </w:r>
          </w:p>
        </w:tc>
        <w:tc>
          <w:tcPr>
            <w:tcW w:type="dxa" w:w="2900"/>
            <w:tcMar>
              <w:top w:type="dxa" w:w="80"/>
              <w:left w:type="dxa" w:w="100"/>
              <w:bottom w:type="dxa" w:w="80"/>
              <w:right w:type="dxa" w:w="100"/>
            </w:tcMar>
          </w:tcPr>
          <w:p>
            <w:r>
              <w:rPr>
                <w:b w:val="false"/>
                <w:bCs w:val="false"/>
              </w:rPr>
              <w:t xml:space="preserve">10 berkas CSV dari berbagai sumber</w:t>
            </w:r>
          </w:p>
        </w:tc>
        <w:tc>
          <w:tcPr>
            <w:tcW w:type="dxa" w:w="2900"/>
            <w:tcMar>
              <w:top w:type="dxa" w:w="80"/>
              <w:left w:type="dxa" w:w="100"/>
              <w:bottom w:type="dxa" w:w="80"/>
              <w:right w:type="dxa" w:w="100"/>
            </w:tcMar>
          </w:tcPr>
          <w:p>
            <w:r>
              <w:rPr>
                <w:b w:val="false"/>
                <w:bCs w:val="false"/>
              </w:rPr>
              <w:t xml:space="preserve">Tabel rapi per sumber (format parquet)</w:t>
            </w:r>
          </w:p>
        </w:tc>
        <w:tc>
          <w:tcPr>
            <w:tcW w:type="dxa" w:w="2500"/>
            <w:tcMar>
              <w:top w:type="dxa" w:w="80"/>
              <w:left w:type="dxa" w:w="100"/>
              <w:bottom w:type="dxa" w:w="80"/>
              <w:right w:type="dxa" w:w="100"/>
            </w:tcMar>
          </w:tcPr>
          <w:p>
            <w:r>
              <w:rPr>
                <w:b w:val="false"/>
                <w:bCs w:val="false"/>
              </w:rPr>
              <w:t xml:space="preserve">Disimpan apa adanya, belum diubah/digabung</w:t>
            </w:r>
          </w:p>
        </w:tc>
      </w:tr>
      <w:tr>
        <w:tc>
          <w:tcPr>
            <w:tcW w:type="dxa" w:w="1300"/>
            <w:shd w:fill="F2F2F2" w:val="clear"/>
            <w:tcMar>
              <w:top w:type="dxa" w:w="80"/>
              <w:left w:type="dxa" w:w="100"/>
              <w:bottom w:type="dxa" w:w="80"/>
              <w:right w:type="dxa" w:w="100"/>
            </w:tcMar>
          </w:tcPr>
          <w:p>
            <w:r>
              <w:rPr>
                <w:b w:val="false"/>
                <w:bCs w:val="false"/>
              </w:rPr>
              <w:t xml:space="preserve">Silver</w:t>
            </w:r>
          </w:p>
        </w:tc>
        <w:tc>
          <w:tcPr>
            <w:tcW w:type="dxa" w:w="2200"/>
            <w:shd w:fill="F2F2F2" w:val="clear"/>
            <w:tcMar>
              <w:top w:type="dxa" w:w="80"/>
              <w:left w:type="dxa" w:w="100"/>
              <w:bottom w:type="dxa" w:w="80"/>
              <w:right w:type="dxa" w:w="100"/>
            </w:tcMar>
          </w:tcPr>
          <w:p>
            <w:r>
              <w:rPr>
                <w:b w:val="false"/>
                <w:bCs w:val="false"/>
              </w:rPr>
              <w:t xml:space="preserve">Dicuci &amp; dipotong-potong</w:t>
            </w:r>
          </w:p>
        </w:tc>
        <w:tc>
          <w:tcPr>
            <w:tcW w:type="dxa" w:w="2900"/>
            <w:shd w:fill="F2F2F2" w:val="clear"/>
            <w:tcMar>
              <w:top w:type="dxa" w:w="80"/>
              <w:left w:type="dxa" w:w="100"/>
              <w:bottom w:type="dxa" w:w="80"/>
              <w:right w:type="dxa" w:w="100"/>
            </w:tcMar>
          </w:tcPr>
          <w:p>
            <w:r>
              <w:rPr>
                <w:b w:val="false"/>
                <w:bCs w:val="false"/>
              </w:rPr>
              <w:t xml:space="preserve">Tabel bronze per sumber</w:t>
            </w:r>
          </w:p>
        </w:tc>
        <w:tc>
          <w:tcPr>
            <w:tcW w:type="dxa" w:w="2900"/>
            <w:shd w:fill="F2F2F2" w:val="clear"/>
            <w:tcMar>
              <w:top w:type="dxa" w:w="80"/>
              <w:left w:type="dxa" w:w="100"/>
              <w:bottom w:type="dxa" w:w="80"/>
              <w:right w:type="dxa" w:w="100"/>
            </w:tcMar>
          </w:tcPr>
          <w:p>
            <w:r>
              <w:rPr>
                <w:b w:val="false"/>
                <w:bCs w:val="false"/>
              </w:rPr>
              <w:t xml:space="preserve">Tabel bersih per sumber + 1 peta pelanggan</w:t>
            </w:r>
          </w:p>
        </w:tc>
        <w:tc>
          <w:tcPr>
            <w:tcW w:type="dxa" w:w="2500"/>
            <w:shd w:fill="F2F2F2" w:val="clear"/>
            <w:tcMar>
              <w:top w:type="dxa" w:w="80"/>
              <w:left w:type="dxa" w:w="100"/>
              <w:bottom w:type="dxa" w:w="80"/>
              <w:right w:type="dxa" w:w="100"/>
            </w:tcMar>
          </w:tcPr>
          <w:p>
            <w:r>
              <w:rPr>
                <w:b w:val="false"/>
                <w:bCs w:val="false"/>
              </w:rPr>
              <w:t xml:space="preserve">Dibersihkan, dihitung rasio, disatukan lewat CIF sintetis</w:t>
            </w:r>
          </w:p>
        </w:tc>
      </w:tr>
      <w:tr>
        <w:tc>
          <w:tcPr>
            <w:tcW w:type="dxa" w:w="1300"/>
            <w:tcMar>
              <w:top w:type="dxa" w:w="80"/>
              <w:left w:type="dxa" w:w="100"/>
              <w:bottom w:type="dxa" w:w="80"/>
              <w:right w:type="dxa" w:w="100"/>
            </w:tcMar>
          </w:tcPr>
          <w:p>
            <w:r>
              <w:rPr>
                <w:b w:val="false"/>
                <w:bCs w:val="false"/>
              </w:rPr>
              <w:t xml:space="preserve">Gold</w:t>
            </w:r>
          </w:p>
        </w:tc>
        <w:tc>
          <w:tcPr>
            <w:tcW w:type="dxa" w:w="2200"/>
            <w:tcMar>
              <w:top w:type="dxa" w:w="80"/>
              <w:left w:type="dxa" w:w="100"/>
              <w:bottom w:type="dxa" w:w="80"/>
              <w:right w:type="dxa" w:w="100"/>
            </w:tcMar>
          </w:tcPr>
          <w:p>
            <w:r>
              <w:rPr>
                <w:b w:val="false"/>
                <w:bCs w:val="false"/>
              </w:rPr>
              <w:t xml:space="preserve">Diracik jadi hidangan</w:t>
            </w:r>
          </w:p>
        </w:tc>
        <w:tc>
          <w:tcPr>
            <w:tcW w:type="dxa" w:w="2900"/>
            <w:tcMar>
              <w:top w:type="dxa" w:w="80"/>
              <w:left w:type="dxa" w:w="100"/>
              <w:bottom w:type="dxa" w:w="80"/>
              <w:right w:type="dxa" w:w="100"/>
            </w:tcMar>
          </w:tcPr>
          <w:p>
            <w:r>
              <w:rPr>
                <w:b w:val="false"/>
                <w:bCs w:val="false"/>
              </w:rPr>
              <w:t xml:space="preserve">Semua tabel silver</w:t>
            </w:r>
          </w:p>
        </w:tc>
        <w:tc>
          <w:tcPr>
            <w:tcW w:type="dxa" w:w="2900"/>
            <w:tcMar>
              <w:top w:type="dxa" w:w="80"/>
              <w:left w:type="dxa" w:w="100"/>
              <w:bottom w:type="dxa" w:w="80"/>
              <w:right w:type="dxa" w:w="100"/>
            </w:tcMar>
          </w:tcPr>
          <w:p>
            <w:r>
              <w:rPr>
                <w:b w:val="false"/>
                <w:bCs w:val="false"/>
              </w:rPr>
              <w:t xml:space="preserve">21 tabel siap analisis (data debitur, pengajuan, jaringan, dst)</w:t>
            </w:r>
          </w:p>
        </w:tc>
        <w:tc>
          <w:tcPr>
            <w:tcW w:type="dxa" w:w="2500"/>
            <w:tcMar>
              <w:top w:type="dxa" w:w="80"/>
              <w:left w:type="dxa" w:w="100"/>
              <w:bottom w:type="dxa" w:w="80"/>
              <w:right w:type="dxa" w:w="100"/>
            </w:tcMar>
          </w:tcPr>
          <w:p>
            <w:r>
              <w:rPr>
                <w:b w:val="false"/>
                <w:bCs w:val="false"/>
              </w:rPr>
              <w:t xml:space="preserve">Dibentuk jadi tabel bisnis + fitur jaringan anti-bocor</w:t>
            </w:r>
          </w:p>
        </w:tc>
      </w:tr>
      <w:tr>
        <w:tc>
          <w:tcPr>
            <w:tcW w:type="dxa" w:w="1300"/>
            <w:shd w:fill="F2F2F2" w:val="clear"/>
            <w:tcMar>
              <w:top w:type="dxa" w:w="80"/>
              <w:left w:type="dxa" w:w="100"/>
              <w:bottom w:type="dxa" w:w="80"/>
              <w:right w:type="dxa" w:w="100"/>
            </w:tcMar>
          </w:tcPr>
          <w:p>
            <w:r>
              <w:rPr>
                <w:b w:val="false"/>
                <w:bCs w:val="false"/>
              </w:rPr>
              <w:t xml:space="preserve">Gerbang Kualitas</w:t>
            </w:r>
          </w:p>
        </w:tc>
        <w:tc>
          <w:tcPr>
            <w:tcW w:type="dxa" w:w="2200"/>
            <w:shd w:fill="F2F2F2" w:val="clear"/>
            <w:tcMar>
              <w:top w:type="dxa" w:w="80"/>
              <w:left w:type="dxa" w:w="100"/>
              <w:bottom w:type="dxa" w:w="80"/>
              <w:right w:type="dxa" w:w="100"/>
            </w:tcMar>
          </w:tcPr>
          <w:p>
            <w:r>
              <w:rPr>
                <w:b w:val="false"/>
                <w:bCs w:val="false"/>
              </w:rPr>
              <w:t xml:space="preserve">Cicip sebelum disajikan</w:t>
            </w:r>
          </w:p>
        </w:tc>
        <w:tc>
          <w:tcPr>
            <w:tcW w:type="dxa" w:w="2900"/>
            <w:shd w:fill="F2F2F2" w:val="clear"/>
            <w:tcMar>
              <w:top w:type="dxa" w:w="80"/>
              <w:left w:type="dxa" w:w="100"/>
              <w:bottom w:type="dxa" w:w="80"/>
              <w:right w:type="dxa" w:w="100"/>
            </w:tcMar>
          </w:tcPr>
          <w:p>
            <w:r>
              <w:rPr>
                <w:b w:val="false"/>
                <w:bCs w:val="false"/>
              </w:rPr>
              <w:t xml:space="preserve">Semua tabel gold</w:t>
            </w:r>
          </w:p>
        </w:tc>
        <w:tc>
          <w:tcPr>
            <w:tcW w:type="dxa" w:w="2900"/>
            <w:shd w:fill="F2F2F2" w:val="clear"/>
            <w:tcMar>
              <w:top w:type="dxa" w:w="80"/>
              <w:left w:type="dxa" w:w="100"/>
              <w:bottom w:type="dxa" w:w="80"/>
              <w:right w:type="dxa" w:w="100"/>
            </w:tcMar>
          </w:tcPr>
          <w:p>
            <w:r>
              <w:rPr>
                <w:b w:val="false"/>
                <w:bCs w:val="false"/>
              </w:rPr>
              <w:t xml:space="preserve">Laporan lolos/gagal</w:t>
            </w:r>
          </w:p>
        </w:tc>
        <w:tc>
          <w:tcPr>
            <w:tcW w:type="dxa" w:w="2500"/>
            <w:shd w:fill="F2F2F2" w:val="clear"/>
            <w:tcMar>
              <w:top w:type="dxa" w:w="80"/>
              <w:left w:type="dxa" w:w="100"/>
              <w:bottom w:type="dxa" w:w="80"/>
              <w:right w:type="dxa" w:w="100"/>
            </w:tcMar>
          </w:tcPr>
          <w:p>
            <w:r>
              <w:rPr>
                <w:b w:val="false"/>
                <w:bCs w:val="false"/>
              </w:rPr>
              <w:t xml:space="preserve">50+ aturan dicek otomatis, proses berhenti kalau ada yang kritis</w:t>
            </w:r>
          </w:p>
        </w:tc>
      </w:tr>
      <w:tr>
        <w:tc>
          <w:tcPr>
            <w:tcW w:type="dxa" w:w="1300"/>
            <w:tcMar>
              <w:top w:type="dxa" w:w="80"/>
              <w:left w:type="dxa" w:w="100"/>
              <w:bottom w:type="dxa" w:w="80"/>
              <w:right w:type="dxa" w:w="100"/>
            </w:tcMar>
          </w:tcPr>
          <w:p>
            <w:r>
              <w:rPr>
                <w:b w:val="false"/>
                <w:bCs w:val="false"/>
              </w:rPr>
              <w:t xml:space="preserve">ABT (Meja Saji)</w:t>
            </w:r>
          </w:p>
        </w:tc>
        <w:tc>
          <w:tcPr>
            <w:tcW w:type="dxa" w:w="2200"/>
            <w:tcMar>
              <w:top w:type="dxa" w:w="80"/>
              <w:left w:type="dxa" w:w="100"/>
              <w:bottom w:type="dxa" w:w="80"/>
              <w:right w:type="dxa" w:w="100"/>
            </w:tcMar>
          </w:tcPr>
          <w:p>
            <w:r>
              <w:rPr>
                <w:b w:val="false"/>
                <w:bCs w:val="false"/>
              </w:rPr>
              <w:t xml:space="preserve">Piring siap santap</w:t>
            </w:r>
          </w:p>
        </w:tc>
        <w:tc>
          <w:tcPr>
            <w:tcW w:type="dxa" w:w="2900"/>
            <w:tcMar>
              <w:top w:type="dxa" w:w="80"/>
              <w:left w:type="dxa" w:w="100"/>
              <w:bottom w:type="dxa" w:w="80"/>
              <w:right w:type="dxa" w:w="100"/>
            </w:tcMar>
          </w:tcPr>
          <w:p>
            <w:r>
              <w:rPr>
                <w:b w:val="false"/>
                <w:bCs w:val="false"/>
              </w:rPr>
              <w:t xml:space="preserve">Tabel gold terpilih</w:t>
            </w:r>
          </w:p>
        </w:tc>
        <w:tc>
          <w:tcPr>
            <w:tcW w:type="dxa" w:w="2900"/>
            <w:tcMar>
              <w:top w:type="dxa" w:w="80"/>
              <w:left w:type="dxa" w:w="100"/>
              <w:bottom w:type="dxa" w:w="80"/>
              <w:right w:type="dxa" w:w="100"/>
            </w:tcMar>
          </w:tcPr>
          <w:p>
            <w:r>
              <w:rPr>
                <w:b w:val="false"/>
                <w:bCs w:val="false"/>
              </w:rPr>
              <w:t xml:space="preserve">5 tabel siap pakai untuk model AI</w:t>
            </w:r>
          </w:p>
        </w:tc>
        <w:tc>
          <w:tcPr>
            <w:tcW w:type="dxa" w:w="2500"/>
            <w:tcMar>
              <w:top w:type="dxa" w:w="80"/>
              <w:left w:type="dxa" w:w="100"/>
              <w:bottom w:type="dxa" w:w="80"/>
              <w:right w:type="dxa" w:w="100"/>
            </w:tcMar>
          </w:tcPr>
          <w:p>
            <w:r>
              <w:rPr>
                <w:b w:val="false"/>
                <w:bCs w:val="false"/>
              </w:rPr>
              <w:t xml:space="preserve">Format baku, tidak ada kebocoran info masa depan</w:t>
            </w:r>
          </w:p>
        </w:tc>
      </w:tr>
    </w:tbl>
    <w:p>
      <w:pPr>
        <w:spacing w:after="160"/>
        <w:ind w:left="360"/>
      </w:pPr>
      <w:r>
        <w:rPr>
          <w:i/>
          <w:iCs/>
          <w:color w:val="666666"/>
        </w:rPr>
        <w:t xml:space="preserve">Catatan penting: sebagian besar data di sini adalah gabungan 7 dataset publik asli (rasio keuangan, kebangkrutan, rating perusahaan, pinjaman UKM, transfer dana, dan jaringan kepemilikan perusahaan) yang "dijahit" menjadi satu portofolio kredit Indonesia buatan. Sinyal-sinyal di dalamnya (pola gagal bayar, rasio keuangan, tingkat pemulihan, struktur jaringan) nyata dan sudah pernah terjadi di dunia nyata - tapi keterkaitan antar sumbernya sintetis/buatan, dan seluruh konteks Indonesia-nya (nama, alamat, rupiah) juga sintetis.</w:t>
      </w:r>
    </w:p>
    <w:p>
      <w:pPr>
        <w:pStyle w:val="Heading1"/>
        <w:spacing w:after="160" w:before="360"/>
      </w:pPr>
      <w:r>
        <w:t xml:space="preserve">Tahap 1: Bronze - Gudang Bahan Mentah</w:t>
      </w:r>
    </w:p>
    <w:p>
      <w:pPr>
        <w:spacing w:after="160"/>
      </w:pPr>
      <w:r>
        <w:rPr>
          <w:b w:val="false"/>
          <w:bCs w:val="false"/>
        </w:rPr>
        <w:t xml:space="preserve">Di tahap ini, 10 file mentah dari berbagai sumber (format CSV, ada yang ukurannya ratusan MB) dipindahkan menjadi tabel yang lebih rapi dan cepat dibaca (format parquet). Aturan utamanya satu: </w:t>
      </w:r>
    </w:p>
    <w:p>
      <w:pPr>
        <w:pStyle w:val="ListParagraph"/>
        <w:numPr>
          <w:ilvl w:val="0"/>
          <w:numId w:val="1"/>
        </w:numPr>
        <w:spacing w:after="80"/>
      </w:pPr>
      <w:r>
        <w:t xml:space="preserve">Tidak boleh ada rekayasa nilai. Tidak boleh ada penggabungan antar sumber. Data disimpan persis apa adanya, hanya dirapikan formatnya.</w:t>
      </w:r>
    </w:p>
    <w:p>
      <w:pPr>
        <w:pStyle w:val="Heading2"/>
        <w:spacing w:after="120" w:before="260"/>
      </w:pPr>
      <w:r>
        <w:t xml:space="preserve">Yang dilakukan di sini</w:t>
      </w:r>
    </w:p>
    <w:p>
      <w:pPr>
        <w:pStyle w:val="ListParagraph"/>
        <w:numPr>
          <w:ilvl w:val="0"/>
          <w:numId w:val="1"/>
        </w:numPr>
        <w:spacing w:after="80"/>
      </w:pPr>
      <w:r>
        <w:t xml:space="preserve">Data keuangan Taiwan, data kebangkrutan perusahaan Amerika, data rating korporasi, dan data pinjaman UKM (SBA) masing-masing disimpan sebagai tabel tersendiri, dengan nama kolom yang dirapikan.</w:t>
      </w:r>
    </w:p>
    <w:p>
      <w:pPr>
        <w:pStyle w:val="ListParagraph"/>
        <w:numPr>
          <w:ilvl w:val="0"/>
          <w:numId w:val="1"/>
        </w:numPr>
        <w:spacing w:after="80"/>
      </w:pPr>
      <w:r>
        <w:t xml:space="preserve">Data transfer dana antarbank (650 MB, jutaan baris) tidak diambil semuanya - hanya 20.000 rekening yang paling "aktif" (paling banyak muncul) beserta seluruh transaksi antar mereka. Ini seperti mengambil sampel jalan tol yang paling ramai, bukan seluruh jaringan jalan negara, supaya ukurannya terkendali tapi pola lalu-lintasnya (siapa terhubung ke siapa, ada siklus transaksi atau tidak) tetap utuh.</w:t>
      </w:r>
    </w:p>
    <w:p>
      <w:pPr>
        <w:pStyle w:val="ListParagraph"/>
        <w:numPr>
          <w:ilvl w:val="0"/>
          <w:numId w:val="1"/>
        </w:numPr>
        <w:spacing w:after="80"/>
      </w:pPr>
      <w:r>
        <w:t xml:space="preserve">Data jaringan kepemilikan perusahaan (dari kebocoran dokumen Panama/Paradise Papers, dikenal sebagai ICIJ Offshore Leaks) disaring hanya relasi yang relevan (siapa pemilik, siapa pengurus, siapa berbagi alamat kantor).</w:t>
      </w:r>
    </w:p>
    <w:p>
      <w:pPr>
        <w:pStyle w:val="ListParagraph"/>
        <w:numPr>
          <w:ilvl w:val="0"/>
          <w:numId w:val="1"/>
        </w:numPr>
        <w:spacing w:after="80"/>
      </w:pPr>
      <w:r>
        <w:t xml:space="preserve">Kalau ada file mentah yang belum diunduh atau hilang, proses langsung berhenti di sini (fail-fast) - lebih baik gagal cepat daripada melanjutkan dengan data yang tidak lengkap.</w:t>
      </w:r>
    </w:p>
    <w:p>
      <w:pPr>
        <w:pStyle w:val="Heading1"/>
        <w:spacing w:after="160" w:before="360"/>
      </w:pPr>
      <w:r>
        <w:t xml:space="preserve">Tahap 2: Silver - Dicuci, Dipotong, Dihitung</w:t>
      </w:r>
    </w:p>
    <w:p>
      <w:pPr>
        <w:spacing w:after="160"/>
      </w:pPr>
      <w:r>
        <w:t xml:space="preserve">Di dapur ini, tiap bahan (masih terpisah per sumber) dicuci dan diolah jadi angka yang lebih siap pakai. Tahap ini dibagi dua bagian.</w:t>
      </w:r>
    </w:p>
    <w:p>
      <w:pPr>
        <w:pStyle w:val="Heading2"/>
        <w:spacing w:after="120" w:before="260"/>
      </w:pPr>
      <w:r>
        <w:t xml:space="preserve">2a. Membersihkan tiap sumber sendiri-sendiri</w:t>
      </w:r>
    </w:p>
    <w:p>
      <w:pPr>
        <w:pStyle w:val="ListParagraph"/>
        <w:numPr>
          <w:ilvl w:val="0"/>
          <w:numId w:val="1"/>
        </w:numPr>
        <w:spacing w:after="80"/>
      </w:pPr>
      <w:r>
        <w:t xml:space="preserve">Data keuangan Amerika: dari angka mentah neraca dan laba-rugi, dihitung rasio-rasio keuangan standar perbankan - misalnya rasio utang terhadap modal (DER), kemampuan bayar bunga (ICR), imbal hasil aset (ROA), rasio lancar, dan siklus perputaran modal kerja. Nilai-nilai ekstrem (outlier) yang bisa merusak analisis dipotong di batas wajar (persentil 1% dan 99%).</w:t>
      </w:r>
    </w:p>
    <w:p>
      <w:pPr>
        <w:pStyle w:val="ListParagraph"/>
        <w:numPr>
          <w:ilvl w:val="0"/>
          <w:numId w:val="1"/>
        </w:numPr>
        <w:spacing w:after="80"/>
      </w:pPr>
      <w:r>
        <w:t xml:space="preserve">Data pinjaman UKM (SBA): hanya pinjaman yang statusnya jelas (lunas penuh atau gagal bayar) yang dipakai. Dari sini dihitung tingkat kerugian riil (LGD) - satu-satunya angka tingkat kerugian yang benar-benar berasal dari data nyata di seluruh proyek ini.</w:t>
      </w:r>
    </w:p>
    <w:p>
      <w:pPr>
        <w:pStyle w:val="ListParagraph"/>
        <w:numPr>
          <w:ilvl w:val="0"/>
          <w:numId w:val="1"/>
        </w:numPr>
        <w:spacing w:after="80"/>
      </w:pPr>
      <w:r>
        <w:t xml:space="preserve">Data transfer dana: waktu transaksi asli hanya mencakup 17 hari di September 2022, lalu "direntangkan" ke rentang waktu 2021-2026 supaya bisa dipakai untuk analisis bulanan - urutan dan jarak antar transaksi tetap sama persis, hanya sumbu waktunya yang ditarik memanjang, seperti memutar video dalam gerakan lambat.</w:t>
      </w:r>
    </w:p>
    <w:p>
      <w:pPr>
        <w:pStyle w:val="ListParagraph"/>
        <w:numPr>
          <w:ilvl w:val="0"/>
          <w:numId w:val="1"/>
        </w:numPr>
        <w:spacing w:after="80"/>
      </w:pPr>
      <w:r>
        <w:t xml:space="preserve">Data jaringan kepemilikan: relasi dikelompokkan menjadi jenisnya - siapa pemilik, siapa pengurus, siapa berbagi alamat, siapa kemungkinan identitas ganda.</w:t>
      </w:r>
    </w:p>
    <w:p>
      <w:pPr>
        <w:pStyle w:val="Heading2"/>
        <w:spacing w:after="120" w:before="260"/>
      </w:pPr>
      <w:r>
        <w:t xml:space="preserve">2b. Menyatukan semua sumber jadi satu "nasabah"</w:t>
      </w:r>
    </w:p>
    <w:p>
      <w:pPr>
        <w:spacing w:after="160"/>
      </w:pPr>
      <w:r>
        <w:t xml:space="preserve">Bagian paling penting dan paling harus dipahami: karena tujuh sumber data ini di dunia nyata TIDAK PERNAH saling terhubung (rasio keuangan Amerika, data pinjaman UKM, data transfer bank, dan jaringan kepemilikan luar negeri adalah empat dunia yang terpisah), pipeline ini membuat identitas nasabah buatan (disebut CIF) yang "menjahit" potongan dari tiap sumber menjadi satu profil debitur yang koheren.</w:t>
      </w:r>
    </w:p>
    <w:p>
      <w:pPr>
        <w:pStyle w:val="ListParagraph"/>
        <w:numPr>
          <w:ilvl w:val="0"/>
          <w:numId w:val="1"/>
        </w:numPr>
        <w:spacing w:after="80"/>
      </w:pPr>
      <w:r>
        <w:t xml:space="preserve">6.000 profil debitur dibuat dari data perusahaan Amerika yang datanya lengkap 3 tahun berturut-turut.</w:t>
      </w:r>
    </w:p>
    <w:p>
      <w:pPr>
        <w:pStyle w:val="ListParagraph"/>
        <w:numPr>
          <w:ilvl w:val="0"/>
          <w:numId w:val="1"/>
        </w:numPr>
        <w:spacing w:after="80"/>
      </w:pPr>
      <w:r>
        <w:t xml:space="preserve">Tiap debitur ditempeli satu baris data rasio Taiwan (dicocokkan berdasarkan kemiripan pola, bukan sekadar acak), satu posisi dalam jaringan kepemilikan (diambil per kelompok yang benar-benar saling terhubung, bukan diacak sembarangan supaya strukturnya tetap masuk akal), 1-3 rekening bank, dan satu riwayat pinjaman UKM.</w:t>
      </w:r>
    </w:p>
    <w:p>
      <w:pPr>
        <w:spacing w:after="160"/>
        <w:ind w:left="360"/>
      </w:pPr>
      <w:r>
        <w:rPr>
          <w:i/>
          <w:iCs/>
          <w:color w:val="666666"/>
        </w:rPr>
        <w:t xml:space="preserve">Karena ini penggabungan buatan, dokumen data-lineage.md mencatat secara rinci bagian mana yang "nyata" (pola dan angka statistik) dan bagian mana yang "buatan" (keterkaitan antar sumber, nama, alamat, dan angka rupiah).</w:t>
      </w:r>
    </w:p>
    <w:p>
      <w:pPr>
        <w:pStyle w:val="Heading1"/>
        <w:spacing w:after="160" w:before="360"/>
      </w:pPr>
      <w:r>
        <w:t xml:space="preserve">Tahap 3: Gold - Diracik Jadi Hidangan Siap Analisis</w:t>
      </w:r>
    </w:p>
    <w:p>
      <w:pPr>
        <w:spacing w:after="160"/>
      </w:pPr>
      <w:r>
        <w:t xml:space="preserve">Di tahap ini, seluruh bahan yang sudah bersih diracik menjadi 21 tabel siap pakai untuk analisis bisnis - meliputi profil debitur, pengajuan kredit, fasilitas pinjaman, agunan, kolektibilitas, dan gagal bayar. Tahap ini juga memasukkan konteks Indonesia (nama badan usaha, NPWP, alamat, skala rupiah) yang seluruhnya buatan.</w:t>
      </w:r>
    </w:p>
    <w:p>
      <w:pPr>
        <w:pStyle w:val="Heading2"/>
        <w:spacing w:after="120" w:before="260"/>
      </w:pPr>
      <w:r>
        <w:t xml:space="preserve">Bagian jaringan/relasi (bagian dari tahap ini, dikerjakan lebih dulu)</w:t>
      </w:r>
    </w:p>
    <w:p>
      <w:pPr>
        <w:pStyle w:val="ListParagraph"/>
        <w:numPr>
          <w:ilvl w:val="0"/>
          <w:numId w:val="1"/>
        </w:numPr>
        <w:spacing w:after="80"/>
      </w:pPr>
      <w:r>
        <w:t xml:space="preserve">Membangun peta jaringan: siapa memiliki siapa, siapa mengurus siapa, siapa berbagi alamat kantor, dan siapa saling bertransaksi lewat rekening bank.</w:t>
      </w:r>
    </w:p>
    <w:p>
      <w:pPr>
        <w:pStyle w:val="ListParagraph"/>
        <w:numPr>
          <w:ilvl w:val="0"/>
          <w:numId w:val="1"/>
        </w:numPr>
        <w:spacing w:after="80"/>
      </w:pPr>
      <w:r>
        <w:t xml:space="preserve">Alamat diperlakukan sebagai entitas tersendiri (bukan sekadar teks) - kalau banyak perusahaan berkantor di alamat yang sama, itu jadi sinyal penting (bisa jadi satu grup usaha, atau bisa jadi kantor jasa pendirian PT).</w:t>
      </w:r>
    </w:p>
    <w:p>
      <w:pPr>
        <w:pStyle w:val="ListParagraph"/>
        <w:numPr>
          <w:ilvl w:val="0"/>
          <w:numId w:val="1"/>
        </w:numPr>
        <w:spacing w:after="80"/>
      </w:pPr>
      <w:r>
        <w:t xml:space="preserve">Untuk calon nasabah baru yang belum ada di jaringan, sistem mencoba mencocokkan lewat kesamaan alamat, nama pengurus, atau rekening lawan transaksi - kalau kecocokannya ambigu, ditandai perlu ditelaah manual.</w:t>
      </w:r>
    </w:p>
    <w:p>
      <w:pPr>
        <w:pStyle w:val="ListParagraph"/>
        <w:numPr>
          <w:ilvl w:val="0"/>
          <w:numId w:val="1"/>
        </w:numPr>
        <w:spacing w:after="80"/>
      </w:pPr>
      <w:r>
        <w:t xml:space="preserve">Dihitung fitur-fitur jaringan bulanan: seberapa banyak koneksi seorang debitur, seberapa "berpengaruh" posisinya dalam jaringan, apakah tetangganya di jaringan pernah gagal bayar, dan apakah ada pola transaksi melingkar yang mencurigakan.</w:t>
      </w:r>
    </w:p>
    <w:p>
      <w:pPr>
        <w:spacing w:after="160"/>
        <w:ind w:left="360"/>
      </w:pPr>
      <w:r>
        <w:rPr>
          <w:i/>
          <w:iCs/>
          <w:color w:val="666666"/>
        </w:rPr>
        <w:t xml:space="preserve">Aturan paling ketat di sini: fitur jaringan untuk sebuah pengajuan HANYA boleh memakai data sampai akhir bulan SEBELUM tanggal pengajuan itu diajukan. Ini untuk memastikan model tidak "mengintip masa depan" saat dilatih - persis seperti ujian yang tidak boleh membocorkan jawaban ke soal yang sama.</w:t>
      </w:r>
    </w:p>
    <w:p>
      <w:pPr>
        <w:pStyle w:val="Heading2"/>
        <w:spacing w:after="120" w:before="260"/>
      </w:pPr>
      <w:r>
        <w:t xml:space="preserve">Bagian data bisnis inti</w:t>
      </w:r>
    </w:p>
    <w:p>
      <w:pPr>
        <w:pStyle w:val="ListParagraph"/>
        <w:numPr>
          <w:ilvl w:val="0"/>
          <w:numId w:val="1"/>
        </w:numPr>
        <w:spacing w:after="80"/>
      </w:pPr>
      <w:r>
        <w:t xml:space="preserve">Profil debitur: nama badan usaha, skor kredit, rating internal, tahun berdiri - dibuat konsisten dengan peringkat kesehatan keuangan aslinya (debitur dengan rasio keuangan lebih sehat mendapat skor lebih tinggi, bukan diacak).</w:t>
      </w:r>
    </w:p>
    <w:p>
      <w:pPr>
        <w:pStyle w:val="ListParagraph"/>
        <w:numPr>
          <w:ilvl w:val="0"/>
          <w:numId w:val="1"/>
        </w:numPr>
        <w:spacing w:after="80"/>
      </w:pPr>
      <w:r>
        <w:t xml:space="preserve">Pengajuan kredit: tanggal pengajuan, plafon yang diminta, tenor, dan keputusan komite kredit (setuju / setuju bersyarat / tolak) - keputusan ini dihitung dari skor kredit dan rasio plafon terhadap penjualan, bukan diacak.</w:t>
      </w:r>
    </w:p>
    <w:p>
      <w:pPr>
        <w:pStyle w:val="ListParagraph"/>
        <w:numPr>
          <w:ilvl w:val="0"/>
          <w:numId w:val="1"/>
        </w:numPr>
        <w:spacing w:after="80"/>
      </w:pPr>
      <w:r>
        <w:t xml:space="preserve">Fasilitas, agunan, dan covenant: untuk pengajuan yang disetujui, dibuatkan data pencairan, jaminan yang diserahkan, dan syarat-syarat yang harus dipatuhi (mis. rasio utang tidak boleh melebihi batas tertentu).</w:t>
      </w:r>
    </w:p>
    <w:p>
      <w:pPr>
        <w:pStyle w:val="ListParagraph"/>
        <w:numPr>
          <w:ilvl w:val="0"/>
          <w:numId w:val="1"/>
        </w:numPr>
        <w:spacing w:after="80"/>
      </w:pPr>
      <w:r>
        <w:t xml:space="preserve">Kolektibilitas dan gagal bayar: status kredit tiap bulan (lancar sampai macet), dan kapan tepatnya sebuah kredit dinyatakan gagal bayar - waktunya disesuaikan supaya sebarannya realistis, tidak menumpuk di satu titik.</w:t>
      </w:r>
    </w:p>
    <w:p>
      <w:pPr>
        <w:pStyle w:val="ListParagraph"/>
        <w:numPr>
          <w:ilvl w:val="0"/>
          <w:numId w:val="1"/>
        </w:numPr>
        <w:spacing w:after="80"/>
      </w:pPr>
      <w:r>
        <w:t xml:space="preserve">Tingkat kerugian (LGD): urutan besar-kecil kerugian mengikuti kualitas agunan (agunan bagus → kerugian kecil), tapi angka persisnya diambil dari sebaran kerugian pinjaman UKM yang nyata - jadi urutannya masuk akal DAN angkanya berasal dari data sungguhan.</w:t>
      </w:r>
    </w:p>
    <w:p>
      <w:pPr>
        <w:pStyle w:val="ListParagraph"/>
        <w:numPr>
          <w:ilvl w:val="0"/>
          <w:numId w:val="1"/>
        </w:numPr>
        <w:spacing w:after="80"/>
      </w:pPr>
      <w:r>
        <w:t xml:space="preserve">Eksposur grup usaha: menjumlahkan total pinjaman satu grup usaha (yang salah satu anggotanya bisa dimiliki lewat beberapa lapis perusahaan) untuk dibandingkan dengan batas maksimum pemberian kredit.</w:t>
      </w:r>
    </w:p>
    <w:p>
      <w:pPr>
        <w:pStyle w:val="Heading1"/>
        <w:spacing w:after="160" w:before="360"/>
      </w:pPr>
      <w:r>
        <w:t xml:space="preserve">Tahap 4: Gerbang Kualitas - Cicip Sebelum Disajikan</w:t>
      </w:r>
    </w:p>
    <w:p>
      <w:pPr>
        <w:spacing w:after="160"/>
      </w:pPr>
      <w:r>
        <w:t xml:space="preserve">Sebelum data dianggap siap pakai, lebih dari 50 aturan pemeriksaan otomatis dijalankan. Kalau ada pemeriksaan kritis yang gagal, seluruh proses BERHENTI dan tidak melanjutkan ke tahap berikutnya - persis seperti chef yang menolak menyajikan hidangan yang gosong.</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000"/>
        <w:gridCol w:w="8800"/>
      </w:tblGrid>
      <w:tr>
        <w:trPr>
          <w:tblHeader/>
        </w:trPr>
        <w:tc>
          <w:tcPr>
            <w:tcW w:type="dxa" w:w="3000"/>
            <w:shd w:fill="1F4E5F" w:val="clear"/>
            <w:tcMar>
              <w:top w:type="dxa" w:w="80"/>
              <w:left w:type="dxa" w:w="100"/>
              <w:bottom w:type="dxa" w:w="80"/>
              <w:right w:type="dxa" w:w="100"/>
            </w:tcMar>
          </w:tcPr>
          <w:p>
            <w:r>
              <w:rPr>
                <w:b/>
                <w:bCs/>
                <w:color w:val="FFFFFF"/>
              </w:rPr>
              <w:t xml:space="preserve">Kategori Cek</w:t>
            </w:r>
          </w:p>
        </w:tc>
        <w:tc>
          <w:tcPr>
            <w:tcW w:type="dxa" w:w="8800"/>
            <w:shd w:fill="1F4E5F" w:val="clear"/>
            <w:tcMar>
              <w:top w:type="dxa" w:w="80"/>
              <w:left w:type="dxa" w:w="100"/>
              <w:bottom w:type="dxa" w:w="80"/>
              <w:right w:type="dxa" w:w="100"/>
            </w:tcMar>
          </w:tcPr>
          <w:p>
            <w:r>
              <w:rPr>
                <w:b/>
                <w:bCs/>
                <w:color w:val="FFFFFF"/>
              </w:rPr>
              <w:t xml:space="preserve">Contoh yang diperiksa</w:t>
            </w:r>
          </w:p>
        </w:tc>
      </w:tr>
      <w:tr>
        <w:tc>
          <w:tcPr>
            <w:tcW w:type="dxa" w:w="3000"/>
            <w:tcMar>
              <w:top w:type="dxa" w:w="80"/>
              <w:left w:type="dxa" w:w="100"/>
              <w:bottom w:type="dxa" w:w="80"/>
              <w:right w:type="dxa" w:w="100"/>
            </w:tcMar>
          </w:tcPr>
          <w:p>
            <w:r>
              <w:rPr>
                <w:b w:val="false"/>
                <w:bCs w:val="false"/>
              </w:rPr>
              <w:t xml:space="preserve">ID unik</w:t>
            </w:r>
          </w:p>
        </w:tc>
        <w:tc>
          <w:tcPr>
            <w:tcW w:type="dxa" w:w="8800"/>
            <w:tcMar>
              <w:top w:type="dxa" w:w="80"/>
              <w:left w:type="dxa" w:w="100"/>
              <w:bottom w:type="dxa" w:w="80"/>
              <w:right w:type="dxa" w:w="100"/>
            </w:tcMar>
          </w:tcPr>
          <w:p>
            <w:r>
              <w:rPr>
                <w:b w:val="false"/>
                <w:bCs w:val="false"/>
              </w:rPr>
              <w:t xml:space="preserve">Satu debitur / satu pengajuan tidak boleh punya kembaran dengan ID sama</w:t>
            </w:r>
          </w:p>
        </w:tc>
      </w:tr>
      <w:tr>
        <w:tc>
          <w:tcPr>
            <w:tcW w:type="dxa" w:w="3000"/>
            <w:shd w:fill="F2F2F2" w:val="clear"/>
            <w:tcMar>
              <w:top w:type="dxa" w:w="80"/>
              <w:left w:type="dxa" w:w="100"/>
              <w:bottom w:type="dxa" w:w="80"/>
              <w:right w:type="dxa" w:w="100"/>
            </w:tcMar>
          </w:tcPr>
          <w:p>
            <w:r>
              <w:rPr>
                <w:b w:val="false"/>
                <w:bCs w:val="false"/>
              </w:rPr>
              <w:t xml:space="preserve">Data nyambung</w:t>
            </w:r>
          </w:p>
        </w:tc>
        <w:tc>
          <w:tcPr>
            <w:tcW w:type="dxa" w:w="8800"/>
            <w:shd w:fill="F2F2F2" w:val="clear"/>
            <w:tcMar>
              <w:top w:type="dxa" w:w="80"/>
              <w:left w:type="dxa" w:w="100"/>
              <w:bottom w:type="dxa" w:w="80"/>
              <w:right w:type="dxa" w:w="100"/>
            </w:tcMar>
          </w:tcPr>
          <w:p>
            <w:r>
              <w:rPr>
                <w:b w:val="false"/>
                <w:bCs w:val="false"/>
              </w:rPr>
              <w:t xml:space="preserve">Setiap fasilitas kredit harus punya pengajuan induknya; edge jaringan harus punya kedua simpul yang dituju</w:t>
            </w:r>
          </w:p>
        </w:tc>
      </w:tr>
      <w:tr>
        <w:tc>
          <w:tcPr>
            <w:tcW w:type="dxa" w:w="3000"/>
            <w:tcMar>
              <w:top w:type="dxa" w:w="80"/>
              <w:left w:type="dxa" w:w="100"/>
              <w:bottom w:type="dxa" w:w="80"/>
              <w:right w:type="dxa" w:w="100"/>
            </w:tcMar>
          </w:tcPr>
          <w:p>
            <w:r>
              <w:rPr>
                <w:b w:val="false"/>
                <w:bCs w:val="false"/>
              </w:rPr>
              <w:t xml:space="preserve">Nilai masuk akal</w:t>
            </w:r>
          </w:p>
        </w:tc>
        <w:tc>
          <w:tcPr>
            <w:tcW w:type="dxa" w:w="8800"/>
            <w:tcMar>
              <w:top w:type="dxa" w:w="80"/>
              <w:left w:type="dxa" w:w="100"/>
              <w:bottom w:type="dxa" w:w="80"/>
              <w:right w:type="dxa" w:w="100"/>
            </w:tcMar>
          </w:tcPr>
          <w:p>
            <w:r>
              <w:rPr>
                <w:b w:val="false"/>
                <w:bCs w:val="false"/>
              </w:rPr>
              <w:t xml:space="preserve">Kolektibilitas harus 1-5, tingkat kerugian (LGD) harus 0-1, penjualan debitur ada dalam rentang wajar</w:t>
            </w:r>
          </w:p>
        </w:tc>
      </w:tr>
      <w:tr>
        <w:tc>
          <w:tcPr>
            <w:tcW w:type="dxa" w:w="3000"/>
            <w:shd w:fill="F2F2F2" w:val="clear"/>
            <w:tcMar>
              <w:top w:type="dxa" w:w="80"/>
              <w:left w:type="dxa" w:w="100"/>
              <w:bottom w:type="dxa" w:w="80"/>
              <w:right w:type="dxa" w:w="100"/>
            </w:tcMar>
          </w:tcPr>
          <w:p>
            <w:r>
              <w:rPr>
                <w:b w:val="false"/>
                <w:bCs w:val="false"/>
              </w:rPr>
              <w:t xml:space="preserve">Urutan waktu logis</w:t>
            </w:r>
          </w:p>
        </w:tc>
        <w:tc>
          <w:tcPr>
            <w:tcW w:type="dxa" w:w="8800"/>
            <w:shd w:fill="F2F2F2" w:val="clear"/>
            <w:tcMar>
              <w:top w:type="dxa" w:w="80"/>
              <w:left w:type="dxa" w:w="100"/>
              <w:bottom w:type="dxa" w:w="80"/>
              <w:right w:type="dxa" w:w="100"/>
            </w:tcMar>
          </w:tcPr>
          <w:p>
            <w:r>
              <w:rPr>
                <w:b w:val="false"/>
                <w:bCs w:val="false"/>
              </w:rPr>
              <w:t xml:space="preserve">Pencairan kredit harus setelah pengajuan disetujui; gagal bayar harus setelah pencairan</w:t>
            </w:r>
          </w:p>
        </w:tc>
      </w:tr>
      <w:tr>
        <w:tc>
          <w:tcPr>
            <w:tcW w:type="dxa" w:w="3000"/>
            <w:tcMar>
              <w:top w:type="dxa" w:w="80"/>
              <w:left w:type="dxa" w:w="100"/>
              <w:bottom w:type="dxa" w:w="80"/>
              <w:right w:type="dxa" w:w="100"/>
            </w:tcMar>
          </w:tcPr>
          <w:p>
            <w:r>
              <w:rPr>
                <w:b w:val="false"/>
                <w:bCs w:val="false"/>
              </w:rPr>
              <w:t xml:space="preserve">Tidak ada "bocoran jawaban"</w:t>
            </w:r>
          </w:p>
        </w:tc>
        <w:tc>
          <w:tcPr>
            <w:tcW w:type="dxa" w:w="8800"/>
            <w:tcMar>
              <w:top w:type="dxa" w:w="80"/>
              <w:left w:type="dxa" w:w="100"/>
              <w:bottom w:type="dxa" w:w="80"/>
              <w:right w:type="dxa" w:w="100"/>
            </w:tcMar>
          </w:tcPr>
          <w:p>
            <w:r>
              <w:rPr>
                <w:b w:val="false"/>
                <w:bCs w:val="false"/>
              </w:rPr>
              <w:t xml:space="preserve">Label gagal-bayar dan info rahasia lain tidak boleh menyelinap jadi bahan pelatihan model</w:t>
            </w:r>
          </w:p>
        </w:tc>
      </w:tr>
      <w:tr>
        <w:tc>
          <w:tcPr>
            <w:tcW w:type="dxa" w:w="3000"/>
            <w:shd w:fill="F2F2F2" w:val="clear"/>
            <w:tcMar>
              <w:top w:type="dxa" w:w="80"/>
              <w:left w:type="dxa" w:w="100"/>
              <w:bottom w:type="dxa" w:w="80"/>
              <w:right w:type="dxa" w:w="100"/>
            </w:tcMar>
          </w:tcPr>
          <w:p>
            <w:r>
              <w:rPr>
                <w:b w:val="false"/>
                <w:bCs w:val="false"/>
              </w:rPr>
              <w:t xml:space="preserve">Tidak melihat masa depan</w:t>
            </w:r>
          </w:p>
        </w:tc>
        <w:tc>
          <w:tcPr>
            <w:tcW w:type="dxa" w:w="8800"/>
            <w:shd w:fill="F2F2F2" w:val="clear"/>
            <w:tcMar>
              <w:top w:type="dxa" w:w="80"/>
              <w:left w:type="dxa" w:w="100"/>
              <w:bottom w:type="dxa" w:w="80"/>
              <w:right w:type="dxa" w:w="100"/>
            </w:tcMar>
          </w:tcPr>
          <w:p>
            <w:r>
              <w:rPr>
                <w:b w:val="false"/>
                <w:bCs w:val="false"/>
              </w:rPr>
              <w:t xml:space="preserve">Fitur jaringan untuk pengajuan bulan Maret hanya boleh pakai data sampai akhir Februari</w:t>
            </w:r>
          </w:p>
        </w:tc>
      </w:tr>
      <w:tr>
        <w:tc>
          <w:tcPr>
            <w:tcW w:type="dxa" w:w="3000"/>
            <w:tcMar>
              <w:top w:type="dxa" w:w="80"/>
              <w:left w:type="dxa" w:w="100"/>
              <w:bottom w:type="dxa" w:w="80"/>
              <w:right w:type="dxa" w:w="100"/>
            </w:tcMar>
          </w:tcPr>
          <w:p>
            <w:r>
              <w:rPr>
                <w:b w:val="false"/>
                <w:bCs w:val="false"/>
              </w:rPr>
              <w:t xml:space="preserve">Kewajaran statistik</w:t>
            </w:r>
          </w:p>
        </w:tc>
        <w:tc>
          <w:tcPr>
            <w:tcW w:type="dxa" w:w="8800"/>
            <w:tcMar>
              <w:top w:type="dxa" w:w="80"/>
              <w:left w:type="dxa" w:w="100"/>
              <w:bottom w:type="dxa" w:w="80"/>
              <w:right w:type="dxa" w:w="100"/>
            </w:tcMar>
          </w:tcPr>
          <w:p>
            <w:r>
              <w:rPr>
                <w:b w:val="false"/>
                <w:bCs w:val="false"/>
              </w:rPr>
              <w:t xml:space="preserve">Tingkat gagal bayar keseluruhan harus berada di kisaran wajar (1-25%), bukan 0% atau 90%</w:t>
            </w:r>
          </w:p>
        </w:tc>
      </w:tr>
      <w:tr>
        <w:tc>
          <w:tcPr>
            <w:tcW w:type="dxa" w:w="3000"/>
            <w:shd w:fill="F2F2F2" w:val="clear"/>
            <w:tcMar>
              <w:top w:type="dxa" w:w="80"/>
              <w:left w:type="dxa" w:w="100"/>
              <w:bottom w:type="dxa" w:w="80"/>
              <w:right w:type="dxa" w:w="100"/>
            </w:tcMar>
          </w:tcPr>
          <w:p>
            <w:r>
              <w:rPr>
                <w:b w:val="false"/>
                <w:bCs w:val="false"/>
              </w:rPr>
              <w:t xml:space="preserve">Siap pakai (ABT)</w:t>
            </w:r>
          </w:p>
        </w:tc>
        <w:tc>
          <w:tcPr>
            <w:tcW w:type="dxa" w:w="8800"/>
            <w:shd w:fill="F2F2F2" w:val="clear"/>
            <w:tcMar>
              <w:top w:type="dxa" w:w="80"/>
              <w:left w:type="dxa" w:w="100"/>
              <w:bottom w:type="dxa" w:w="80"/>
              <w:right w:type="dxa" w:w="100"/>
            </w:tcMar>
          </w:tcPr>
          <w:p>
            <w:r>
              <w:rPr>
                <w:b w:val="false"/>
                <w:bCs w:val="false"/>
              </w:rPr>
              <w:t xml:space="preserve">Kolom-kolom fitur harus rapi berlabel, tidak ada kolom terlarang yang menyelundup ke tabel siap pakai</w:t>
            </w:r>
          </w:p>
        </w:tc>
      </w:tr>
    </w:tbl>
    <w:p>
      <w:pPr>
        <w:spacing w:after="160"/>
        <w:ind w:left="360"/>
      </w:pPr>
      <w:r>
        <w:rPr>
          <w:i/>
          <w:iCs/>
          <w:color w:val="666666"/>
        </w:rPr>
        <w:t xml:space="preserve">Pemeriksaan "tidak melihat masa depan" adalah yang paling penting di seluruh proyek ini. Pernah ada satu bug kecil yang membuat fitur jaringan mengintip data satu bulan terlalu jauh ke depan - dan pemeriksaan otomatis inilah yang menangkapnya, bukan pengecekan manual.</w:t>
      </w:r>
    </w:p>
    <w:p>
      <w:pPr>
        <w:pStyle w:val="Heading1"/>
        <w:spacing w:after="160" w:before="360"/>
      </w:pPr>
      <w:r>
        <w:t xml:space="preserve">Tahap 5: Meja Saji - Tabel Siap Pakai untuk Model AI</w:t>
      </w:r>
    </w:p>
    <w:p>
      <w:pPr>
        <w:spacing w:after="160"/>
      </w:pPr>
      <w:r>
        <w:t xml:space="preserve">Tahap terakhir mengambil tabel-tabel gold yang relevan dan menyusunnya menjadi 5 tabel "siap santap" khusus untuk melatih model AI. Di tahap ini data dirapikan dengan aturan yang ketat:</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4600"/>
      </w:tblGrid>
      <w:tr>
        <w:trPr>
          <w:tblHeader/>
        </w:trPr>
        <w:tc>
          <w:tcPr>
            <w:tcW w:type="dxa" w:w="2200"/>
            <w:shd w:fill="1F4E5F" w:val="clear"/>
            <w:tcMar>
              <w:top w:type="dxa" w:w="80"/>
              <w:left w:type="dxa" w:w="100"/>
              <w:bottom w:type="dxa" w:w="80"/>
              <w:right w:type="dxa" w:w="100"/>
            </w:tcMar>
          </w:tcPr>
          <w:p>
            <w:r>
              <w:rPr>
                <w:b/>
                <w:bCs/>
                <w:color w:val="FFFFFF"/>
              </w:rPr>
              <w:t xml:space="preserve">Nama Tabel</w:t>
            </w:r>
          </w:p>
        </w:tc>
        <w:tc>
          <w:tcPr>
            <w:tcW w:type="dxa" w:w="2600"/>
            <w:shd w:fill="1F4E5F" w:val="clear"/>
            <w:tcMar>
              <w:top w:type="dxa" w:w="80"/>
              <w:left w:type="dxa" w:w="100"/>
              <w:bottom w:type="dxa" w:w="80"/>
              <w:right w:type="dxa" w:w="100"/>
            </w:tcMar>
          </w:tcPr>
          <w:p>
            <w:r>
              <w:rPr>
                <w:b/>
                <w:bCs/>
                <w:color w:val="FFFFFF"/>
              </w:rPr>
              <w:t xml:space="preserve">Satu baris = ?</w:t>
            </w:r>
          </w:p>
        </w:tc>
        <w:tc>
          <w:tcPr>
            <w:tcW w:type="dxa" w:w="2400"/>
            <w:shd w:fill="1F4E5F" w:val="clear"/>
            <w:tcMar>
              <w:top w:type="dxa" w:w="80"/>
              <w:left w:type="dxa" w:w="100"/>
              <w:bottom w:type="dxa" w:w="80"/>
              <w:right w:type="dxa" w:w="100"/>
            </w:tcMar>
          </w:tcPr>
          <w:p>
            <w:r>
              <w:rPr>
                <w:b/>
                <w:bCs/>
                <w:color w:val="FFFFFF"/>
              </w:rPr>
              <w:t xml:space="preserve">Untuk memprediksi</w:t>
            </w:r>
          </w:p>
        </w:tc>
        <w:tc>
          <w:tcPr>
            <w:tcW w:type="dxa" w:w="4600"/>
            <w:shd w:fill="1F4E5F" w:val="clear"/>
            <w:tcMar>
              <w:top w:type="dxa" w:w="80"/>
              <w:left w:type="dxa" w:w="100"/>
              <w:bottom w:type="dxa" w:w="80"/>
              <w:right w:type="dxa" w:w="100"/>
            </w:tcMar>
          </w:tcPr>
          <w:p>
            <w:r>
              <w:rPr>
                <w:b/>
                <w:bCs/>
                <w:color w:val="FFFFFF"/>
              </w:rPr>
              <w:t xml:space="preserve">Dipakai untuk model apa</w:t>
            </w:r>
          </w:p>
        </w:tc>
      </w:tr>
      <w:tr>
        <w:tc>
          <w:tcPr>
            <w:tcW w:type="dxa" w:w="2200"/>
            <w:tcMar>
              <w:top w:type="dxa" w:w="80"/>
              <w:left w:type="dxa" w:w="100"/>
              <w:bottom w:type="dxa" w:w="80"/>
              <w:right w:type="dxa" w:w="100"/>
            </w:tcMar>
          </w:tcPr>
          <w:p>
            <w:r>
              <w:rPr>
                <w:b w:val="false"/>
                <w:bCs w:val="false"/>
              </w:rPr>
              <w:t xml:space="preserve">abt_pd</w:t>
            </w:r>
          </w:p>
        </w:tc>
        <w:tc>
          <w:tcPr>
            <w:tcW w:type="dxa" w:w="2600"/>
            <w:tcMar>
              <w:top w:type="dxa" w:w="80"/>
              <w:left w:type="dxa" w:w="100"/>
              <w:bottom w:type="dxa" w:w="80"/>
              <w:right w:type="dxa" w:w="100"/>
            </w:tcMar>
          </w:tcPr>
          <w:p>
            <w:r>
              <w:rPr>
                <w:b w:val="false"/>
                <w:bCs w:val="false"/>
              </w:rPr>
              <w:t xml:space="preserve">1 pengajuan kredit</w:t>
            </w:r>
          </w:p>
        </w:tc>
        <w:tc>
          <w:tcPr>
            <w:tcW w:type="dxa" w:w="2400"/>
            <w:tcMar>
              <w:top w:type="dxa" w:w="80"/>
              <w:left w:type="dxa" w:w="100"/>
              <w:bottom w:type="dxa" w:w="80"/>
              <w:right w:type="dxa" w:w="100"/>
            </w:tcMar>
          </w:tcPr>
          <w:p>
            <w:r>
              <w:rPr>
                <w:b w:val="false"/>
                <w:bCs w:val="false"/>
              </w:rPr>
              <w:t xml:space="preserve">Gagal bayar dalam 12 bulan</w:t>
            </w:r>
          </w:p>
        </w:tc>
        <w:tc>
          <w:tcPr>
            <w:tcW w:type="dxa" w:w="4600"/>
            <w:tcMar>
              <w:top w:type="dxa" w:w="80"/>
              <w:left w:type="dxa" w:w="100"/>
              <w:bottom w:type="dxa" w:w="80"/>
              <w:right w:type="dxa" w:w="100"/>
            </w:tcMar>
          </w:tcPr>
          <w:p>
            <w:r>
              <w:rPr>
                <w:b w:val="false"/>
                <w:bCs w:val="false"/>
              </w:rPr>
              <w:t xml:space="preserve">Model kelayakan kredit (Probability of Default)</w:t>
            </w:r>
          </w:p>
        </w:tc>
      </w:tr>
      <w:tr>
        <w:tc>
          <w:tcPr>
            <w:tcW w:type="dxa" w:w="2200"/>
            <w:shd w:fill="F2F2F2" w:val="clear"/>
            <w:tcMar>
              <w:top w:type="dxa" w:w="80"/>
              <w:left w:type="dxa" w:w="100"/>
              <w:bottom w:type="dxa" w:w="80"/>
              <w:right w:type="dxa" w:w="100"/>
            </w:tcMar>
          </w:tcPr>
          <w:p>
            <w:r>
              <w:rPr>
                <w:b w:val="false"/>
                <w:bCs w:val="false"/>
              </w:rPr>
              <w:t xml:space="preserve">abt_ews</w:t>
            </w:r>
          </w:p>
        </w:tc>
        <w:tc>
          <w:tcPr>
            <w:tcW w:type="dxa" w:w="2600"/>
            <w:shd w:fill="F2F2F2" w:val="clear"/>
            <w:tcMar>
              <w:top w:type="dxa" w:w="80"/>
              <w:left w:type="dxa" w:w="100"/>
              <w:bottom w:type="dxa" w:w="80"/>
              <w:right w:type="dxa" w:w="100"/>
            </w:tcMar>
          </w:tcPr>
          <w:p>
            <w:r>
              <w:rPr>
                <w:b w:val="false"/>
                <w:bCs w:val="false"/>
              </w:rPr>
              <w:t xml:space="preserve">1 fasilitas per bulan</w:t>
            </w:r>
          </w:p>
        </w:tc>
        <w:tc>
          <w:tcPr>
            <w:tcW w:type="dxa" w:w="2400"/>
            <w:shd w:fill="F2F2F2" w:val="clear"/>
            <w:tcMar>
              <w:top w:type="dxa" w:w="80"/>
              <w:left w:type="dxa" w:w="100"/>
              <w:bottom w:type="dxa" w:w="80"/>
              <w:right w:type="dxa" w:w="100"/>
            </w:tcMar>
          </w:tcPr>
          <w:p>
            <w:r>
              <w:rPr>
                <w:b w:val="false"/>
                <w:bCs w:val="false"/>
              </w:rPr>
              <w:t xml:space="preserve">Gagal bayar dalam 6 bulan ke depan</w:t>
            </w:r>
          </w:p>
        </w:tc>
        <w:tc>
          <w:tcPr>
            <w:tcW w:type="dxa" w:w="4600"/>
            <w:shd w:fill="F2F2F2" w:val="clear"/>
            <w:tcMar>
              <w:top w:type="dxa" w:w="80"/>
              <w:left w:type="dxa" w:w="100"/>
              <w:bottom w:type="dxa" w:w="80"/>
              <w:right w:type="dxa" w:w="100"/>
            </w:tcMar>
          </w:tcPr>
          <w:p>
            <w:r>
              <w:rPr>
                <w:b w:val="false"/>
                <w:bCs w:val="false"/>
              </w:rPr>
              <w:t xml:space="preserve">Model peringatan dini (Early Warning System)</w:t>
            </w:r>
          </w:p>
        </w:tc>
      </w:tr>
      <w:tr>
        <w:tc>
          <w:tcPr>
            <w:tcW w:type="dxa" w:w="2200"/>
            <w:tcMar>
              <w:top w:type="dxa" w:w="80"/>
              <w:left w:type="dxa" w:w="100"/>
              <w:bottom w:type="dxa" w:w="80"/>
              <w:right w:type="dxa" w:w="100"/>
            </w:tcMar>
          </w:tcPr>
          <w:p>
            <w:r>
              <w:rPr>
                <w:b w:val="false"/>
                <w:bCs w:val="false"/>
              </w:rPr>
              <w:t xml:space="preserve">abt_lgd</w:t>
            </w:r>
          </w:p>
        </w:tc>
        <w:tc>
          <w:tcPr>
            <w:tcW w:type="dxa" w:w="2600"/>
            <w:tcMar>
              <w:top w:type="dxa" w:w="80"/>
              <w:left w:type="dxa" w:w="100"/>
              <w:bottom w:type="dxa" w:w="80"/>
              <w:right w:type="dxa" w:w="100"/>
            </w:tcMar>
          </w:tcPr>
          <w:p>
            <w:r>
              <w:rPr>
                <w:b w:val="false"/>
                <w:bCs w:val="false"/>
              </w:rPr>
              <w:t xml:space="preserve">1 fasilitas yang gagal bayar</w:t>
            </w:r>
          </w:p>
        </w:tc>
        <w:tc>
          <w:tcPr>
            <w:tcW w:type="dxa" w:w="2400"/>
            <w:tcMar>
              <w:top w:type="dxa" w:w="80"/>
              <w:left w:type="dxa" w:w="100"/>
              <w:bottom w:type="dxa" w:w="80"/>
              <w:right w:type="dxa" w:w="100"/>
            </w:tcMar>
          </w:tcPr>
          <w:p>
            <w:r>
              <w:rPr>
                <w:b w:val="false"/>
                <w:bCs w:val="false"/>
              </w:rPr>
              <w:t xml:space="preserve">Berapa % kerugian sebenarnya</w:t>
            </w:r>
          </w:p>
        </w:tc>
        <w:tc>
          <w:tcPr>
            <w:tcW w:type="dxa" w:w="4600"/>
            <w:tcMar>
              <w:top w:type="dxa" w:w="80"/>
              <w:left w:type="dxa" w:w="100"/>
              <w:bottom w:type="dxa" w:w="80"/>
              <w:right w:type="dxa" w:w="100"/>
            </w:tcMar>
          </w:tcPr>
          <w:p>
            <w:r>
              <w:rPr>
                <w:b w:val="false"/>
                <w:bCs w:val="false"/>
              </w:rPr>
              <w:t xml:space="preserve">Model perkiraan kerugian (Loss Given Default) - data uji</w:t>
            </w:r>
          </w:p>
        </w:tc>
      </w:tr>
      <w:tr>
        <w:tc>
          <w:tcPr>
            <w:tcW w:type="dxa" w:w="2200"/>
            <w:shd w:fill="F2F2F2" w:val="clear"/>
            <w:tcMar>
              <w:top w:type="dxa" w:w="80"/>
              <w:left w:type="dxa" w:w="100"/>
              <w:bottom w:type="dxa" w:w="80"/>
              <w:right w:type="dxa" w:w="100"/>
            </w:tcMar>
          </w:tcPr>
          <w:p>
            <w:r>
              <w:rPr>
                <w:b w:val="false"/>
                <w:bCs w:val="false"/>
              </w:rPr>
              <w:t xml:space="preserve">abt_lgd_sumber</w:t>
            </w:r>
          </w:p>
        </w:tc>
        <w:tc>
          <w:tcPr>
            <w:tcW w:type="dxa" w:w="2600"/>
            <w:shd w:fill="F2F2F2" w:val="clear"/>
            <w:tcMar>
              <w:top w:type="dxa" w:w="80"/>
              <w:left w:type="dxa" w:w="100"/>
              <w:bottom w:type="dxa" w:w="80"/>
              <w:right w:type="dxa" w:w="100"/>
            </w:tcMar>
          </w:tcPr>
          <w:p>
            <w:r>
              <w:rPr>
                <w:b w:val="false"/>
                <w:bCs w:val="false"/>
              </w:rPr>
              <w:t xml:space="preserve">1 pinjaman yang gagal bayar (data asli)</w:t>
            </w:r>
          </w:p>
        </w:tc>
        <w:tc>
          <w:tcPr>
            <w:tcW w:type="dxa" w:w="2400"/>
            <w:shd w:fill="F2F2F2" w:val="clear"/>
            <w:tcMar>
              <w:top w:type="dxa" w:w="80"/>
              <w:left w:type="dxa" w:w="100"/>
              <w:bottom w:type="dxa" w:w="80"/>
              <w:right w:type="dxa" w:w="100"/>
            </w:tcMar>
          </w:tcPr>
          <w:p>
            <w:r>
              <w:rPr>
                <w:b w:val="false"/>
                <w:bCs w:val="false"/>
              </w:rPr>
              <w:t xml:space="preserve">Berapa % kerugian sebenarnya</w:t>
            </w:r>
          </w:p>
        </w:tc>
        <w:tc>
          <w:tcPr>
            <w:tcW w:type="dxa" w:w="4600"/>
            <w:shd w:fill="F2F2F2" w:val="clear"/>
            <w:tcMar>
              <w:top w:type="dxa" w:w="80"/>
              <w:left w:type="dxa" w:w="100"/>
              <w:bottom w:type="dxa" w:w="80"/>
              <w:right w:type="dxa" w:w="100"/>
            </w:tcMar>
          </w:tcPr>
          <w:p>
            <w:r>
              <w:rPr>
                <w:b w:val="false"/>
                <w:bCs w:val="false"/>
              </w:rPr>
              <w:t xml:space="preserve">Data untuk MELATIH model LGD</w:t>
            </w:r>
          </w:p>
        </w:tc>
      </w:tr>
      <w:tr>
        <w:tc>
          <w:tcPr>
            <w:tcW w:type="dxa" w:w="2200"/>
            <w:tcMar>
              <w:top w:type="dxa" w:w="80"/>
              <w:left w:type="dxa" w:w="100"/>
              <w:bottom w:type="dxa" w:w="80"/>
              <w:right w:type="dxa" w:w="100"/>
            </w:tcMar>
          </w:tcPr>
          <w:p>
            <w:r>
              <w:rPr>
                <w:b w:val="false"/>
                <w:bCs w:val="false"/>
              </w:rPr>
              <w:t xml:space="preserve">abt_pengajuan_ditolak</w:t>
            </w:r>
          </w:p>
        </w:tc>
        <w:tc>
          <w:tcPr>
            <w:tcW w:type="dxa" w:w="2600"/>
            <w:tcMar>
              <w:top w:type="dxa" w:w="80"/>
              <w:left w:type="dxa" w:w="100"/>
              <w:bottom w:type="dxa" w:w="80"/>
              <w:right w:type="dxa" w:w="100"/>
            </w:tcMar>
          </w:tcPr>
          <w:p>
            <w:r>
              <w:rPr>
                <w:b w:val="false"/>
                <w:bCs w:val="false"/>
              </w:rPr>
              <w:t xml:space="preserve">1 pengajuan yang ditolak</w:t>
            </w:r>
          </w:p>
        </w:tc>
        <w:tc>
          <w:tcPr>
            <w:tcW w:type="dxa" w:w="2400"/>
            <w:tcMar>
              <w:top w:type="dxa" w:w="80"/>
              <w:left w:type="dxa" w:w="100"/>
              <w:bottom w:type="dxa" w:w="80"/>
              <w:right w:type="dxa" w:w="100"/>
            </w:tcMar>
          </w:tcPr>
          <w:p>
            <w:r>
              <w:rPr>
                <w:b w:val="false"/>
                <w:bCs w:val="false"/>
              </w:rPr>
              <w:t xml:space="preserve">(tidak ada target)</w:t>
            </w:r>
          </w:p>
        </w:tc>
        <w:tc>
          <w:tcPr>
            <w:tcW w:type="dxa" w:w="4600"/>
            <w:tcMar>
              <w:top w:type="dxa" w:w="80"/>
              <w:left w:type="dxa" w:w="100"/>
              <w:bottom w:type="dxa" w:w="80"/>
              <w:right w:type="dxa" w:w="100"/>
            </w:tcMar>
          </w:tcPr>
          <w:p>
            <w:r>
              <w:rPr>
                <w:b w:val="false"/>
                <w:bCs w:val="false"/>
              </w:rPr>
              <w:t xml:space="preserve">Analisis lanjutan: apakah keputusan tolak sudah tepat</w:t>
            </w:r>
          </w:p>
        </w:tc>
      </w:tr>
    </w:tbl>
    <w:p>
      <w:pPr>
        <w:pStyle w:val="Heading2"/>
        <w:spacing w:after="120" w:before="260"/>
      </w:pPr>
      <w:r>
        <w:t xml:space="preserve">Aturan kebersihan yang dijaga ketat</w:t>
      </w:r>
    </w:p>
    <w:p>
      <w:pPr>
        <w:pStyle w:val="ListParagraph"/>
        <w:numPr>
          <w:ilvl w:val="0"/>
          <w:numId w:val="1"/>
        </w:numPr>
        <w:spacing w:after="80"/>
      </w:pPr>
      <w:r>
        <w:t xml:space="preserve">Tidak ada kolom yang "membocorkan jawaban" - misalnya status gagal-bayar tidak boleh menyelinap sebagai salah satu bahan prediksi (kalau itu terjadi, model akan terlihat pintar padahal cuma mencontek).</w:t>
      </w:r>
    </w:p>
    <w:p>
      <w:pPr>
        <w:pStyle w:val="ListParagraph"/>
        <w:numPr>
          <w:ilvl w:val="0"/>
          <w:numId w:val="1"/>
        </w:numPr>
        <w:spacing w:after="80"/>
      </w:pPr>
      <w:r>
        <w:t xml:space="preserve">Tidak ada kolom "dari masa depan" - misalnya jumlah pemakaian kredit saat ini tidak boleh dipakai untuk memprediksi kejadian yang seharusnya diprediksi sebelum kredit itu berjalan.</w:t>
      </w:r>
    </w:p>
    <w:p>
      <w:pPr>
        <w:pStyle w:val="ListParagraph"/>
        <w:numPr>
          <w:ilvl w:val="0"/>
          <w:numId w:val="1"/>
        </w:numPr>
        <w:spacing w:after="80"/>
      </w:pPr>
      <w:r>
        <w:t xml:space="preserve">Pengajuan yang belum cukup lama diamati (misalnya baru berjalan 3 bulan padahal targetnya prediksi 12 bulan) tidak dipaksa diberi label "aman" - ditandai sebagai belum bisa disimpulkan, bukan ditebak.</w:t>
      </w:r>
    </w:p>
    <w:p>
      <w:pPr>
        <w:pStyle w:val="ListParagraph"/>
        <w:numPr>
          <w:ilvl w:val="0"/>
          <w:numId w:val="1"/>
        </w:numPr>
        <w:spacing w:after="80"/>
      </w:pPr>
      <w:r>
        <w:t xml:space="preserve">Pembagian data latih vs data uji dilakukan berdasarkan waktu (yang lebih lama untuk melatih, yang lebih baru untuk menguji) - bukan diacak - supaya benar-benar mensimulasikan cara model dipakai nanti: melihat masa lalu untuk menilai masa depan.</w:t>
      </w:r>
    </w:p>
    <w:p>
      <w:pPr>
        <w:pStyle w:val="ListParagraph"/>
        <w:numPr>
          <w:ilvl w:val="0"/>
          <w:numId w:val="1"/>
        </w:numPr>
        <w:spacing w:after="80"/>
      </w:pPr>
      <w:r>
        <w:t xml:space="preserve">Disertakan juga "kamus data" yang menjelaskan setiap kolom, termasuk kapan sebuah nilai kosong itu berarti sesuatu yang bermakna (misalnya kosong karena laba usaha negatif) dan kapan berarti benar-benar tidak ada datanya.</w:t>
      </w:r>
    </w:p>
    <w:p>
      <w:pPr>
        <w:pStyle w:val="Heading1"/>
        <w:spacing w:after="160" w:before="360"/>
      </w:pPr>
      <w:r>
        <w:t xml:space="preserve">Ringkasan Alur</w:t>
      </w:r>
    </w:p>
    <w:p>
      <w:pPr>
        <w:spacing w:after="160"/>
      </w:pPr>
      <w:r>
        <w:t xml:space="preserve">Urutan proses selalu sama dan berjalan otomatis satu arah - tidak ada tahap yang boleh dilewati:</w:t>
      </w:r>
    </w:p>
    <w:p>
      <w:pPr>
        <w:spacing w:after="200"/>
        <w:jc w:val="left"/>
      </w:pPr>
      <w:r>
        <w:rPr>
          <w:b/>
          <w:bCs/>
          <w:color w:val="1F4E5F"/>
        </w:rPr>
        <w:t xml:space="preserve">Berkas mentah  →  Bronze (disimpan rapi)  →  Silver (dibersihkan &amp; disatukan)  →  Gold (diracik jadi tabel bisnis + jaringan)  →  Gerbang Kualitas (diperiksa 50+ aturan)  →  ABT (5 tabel siap pakai)  →  Model AI</w:t>
      </w:r>
    </w:p>
    <w:p>
      <w:pPr>
        <w:spacing w:after="160"/>
      </w:pPr>
      <w:r>
        <w:t xml:space="preserve">Kalau ada perubahan di data sumber atau di logika pipeline, seluruh urutan ini bisa dijalankan ulang dari awal ("bangun-penuh"), atau hanya bagian gold saja yang di-refresh ("refresh-gold") kalau data bronze dan silver-nya tidak berubah. Gerbang kualitas juga dijadwalkan berjalan sendiri setiap minggu sebagai pemeriksaan rutin.</w:t>
      </w:r>
    </w:p>
    <w:p>
      <w:pPr>
        <w:pStyle w:val="Heading1"/>
        <w:spacing w:after="160" w:before="360"/>
      </w:pPr>
      <w:r>
        <w:t xml:space="preserve">Yang Perlu Diingat Saat Membaca Hasilnya</w:t>
      </w:r>
    </w:p>
    <w:p>
      <w:pPr>
        <w:pStyle w:val="ListParagraph"/>
        <w:numPr>
          <w:ilvl w:val="0"/>
          <w:numId w:val="1"/>
        </w:numPr>
        <w:spacing w:after="80"/>
      </w:pPr>
      <w:r>
        <w:t xml:space="preserve">Pola dan angka statistik (tingkat gagal bayar, rasio keuangan, struktur jaringan) berasal dari data nyata dan bisa dipercaya bentuknya.</w:t>
      </w:r>
    </w:p>
    <w:p>
      <w:pPr>
        <w:pStyle w:val="ListParagraph"/>
        <w:numPr>
          <w:ilvl w:val="0"/>
          <w:numId w:val="1"/>
        </w:numPr>
        <w:spacing w:after="80"/>
      </w:pPr>
      <w:r>
        <w:t xml:space="preserve">Keterkaitan antar sumber data, nama perusahaan, alamat, NPWP, dan seluruh angka dalam Rupiah adalah buatan (sintetis) untuk keperluan simulasi dan pembelajaran - jangan dikutip sebagai fakta bisnis sungguhan.</w:t>
      </w:r>
    </w:p>
    <w:p>
      <w:pPr>
        <w:pStyle w:val="ListParagraph"/>
        <w:numPr>
          <w:ilvl w:val="0"/>
          <w:numId w:val="1"/>
        </w:numPr>
        <w:spacing w:after="80"/>
      </w:pPr>
      <w:r>
        <w:t xml:space="preserve">Untuk detail teknis lengkap (nama kolom, rumus, asumsi) lihat docs/data-lineage.md. Untuk panduan memakai tabel gold di dashboard/analisis lihat docs/panduan-business-analyst.md. Untuk panduan melatih model dari ABT lihat docs/serah-terima-data-scientist.md.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4E5F" w:sz="6"/>
      </w:pBdr>
      <w:spacing w:after="160" w:before="360"/>
    </w:pPr>
    <w:rPr>
      <w:rFonts w:ascii="Calibri" w:cs="Calibri" w:eastAsia="Calibri" w:hAnsi="Calibri"/>
      <w:b/>
      <w:bCs/>
      <w:color w:val="1F4E5F"/>
      <w:sz w:val="30"/>
      <w:szCs w:val="30"/>
    </w:rPr>
  </w:style>
  <w:style w:type="paragraph" w:styleId="Heading2">
    <w:name w:val="Heading 2"/>
    <w:basedOn w:val="Normal"/>
    <w:next w:val="Normal"/>
    <w:pPr>
      <w:spacing w:after="120" w:before="260"/>
    </w:pPr>
    <w:rPr>
      <w:rFonts w:ascii="Calibri" w:cs="Calibri" w:eastAsia="Calibri" w:hAnsi="Calibri"/>
      <w:b/>
      <w:bCs/>
      <w:color w:val="B8860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2026-08-28T04:28:58.635Z</dcterms:created>
  <dcterms:modified xsi:type="dcterms:W3CDTF">2026-08-28T04:28:58.636Z</dcterms:modified>
</cp:coreProperties>
</file>

<file path=docProps/custom.xml><?xml version="1.0" encoding="utf-8"?>
<Properties xmlns="http://schemas.openxmlformats.org/officeDocument/2006/custom-properties" xmlns:vt="http://schemas.openxmlformats.org/officeDocument/2006/docPropsVTypes"/>
</file>