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01620"/>
          <w:sz w:val="40"/>
        </w:rPr>
        <w:t>Proposta — Avaliação de riscos psicossociais (NR-1)</w:t>
      </w:r>
    </w:p>
    <w:p>
      <w:pPr>
        <w:spacing w:after="40"/>
      </w:pPr>
      <w:r>
        <w:rPr>
          <w:rFonts w:ascii="Calibri" w:hAnsi="Calibri"/>
          <w:b/>
        </w:rPr>
        <w:t>Para: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A2570C"/>
        </w:rPr>
        <w:t>[razão social do cliente]</w:t>
      </w:r>
    </w:p>
    <w:p>
      <w:pPr>
        <w:spacing w:after="40"/>
      </w:pPr>
      <w:r>
        <w:rPr>
          <w:rFonts w:ascii="Calibri" w:hAnsi="Calibri"/>
          <w:b/>
        </w:rPr>
        <w:t>De:</w:t>
      </w:r>
      <w:r>
        <w:rPr>
          <w:rFonts w:ascii="Calibri" w:hAnsi="Calibri"/>
        </w:rPr>
        <w:t xml:space="preserve"> TATICCA Auditores Independentes, com a plataforma FROID NR-1</w:t>
      </w:r>
    </w:p>
    <w:p>
      <w:pPr>
        <w:spacing w:after="40"/>
      </w:pPr>
      <w:r>
        <w:rPr>
          <w:rFonts w:ascii="Calibri" w:hAnsi="Calibri"/>
          <w:b/>
        </w:rPr>
        <w:t>Data: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A2570C"/>
        </w:rPr>
        <w:t>[data]</w:t>
      </w:r>
      <w:r>
        <w:rPr>
          <w:rFonts w:ascii="Calibri" w:hAnsi="Calibri"/>
        </w:rPr>
        <w:t xml:space="preserve"> · </w:t>
      </w:r>
      <w:r>
        <w:rPr>
          <w:rFonts w:ascii="Calibri" w:hAnsi="Calibri"/>
          <w:b/>
        </w:rPr>
        <w:t>Validade:</w:t>
      </w:r>
      <w:r>
        <w:rPr>
          <w:rFonts w:ascii="Calibri" w:hAnsi="Calibri"/>
        </w:rPr>
        <w:t xml:space="preserve"> 30 dias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Modelo para uso da TATICCA com a carteira.</w:t>
      </w:r>
      <w:r>
        <w:rPr>
          <w:rFonts w:ascii="Calibri" w:hAnsi="Calibri"/>
          <w:color w:val="A2570C"/>
          <w:sz w:val="20"/>
        </w:rPr>
        <w:t xml:space="preserve"> Preencher os campos entre colchetes e apagar as caixas de instrução (como esta) antes de enviar. Os valores saem da tabela vigente do FROID; a margem da TATICCA vem do desconto de canal e não altera o preço apresentado ao cliente final.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1. Por que esta conversa está acontecendo agora</w:t>
      </w:r>
    </w:p>
    <w:p>
      <w:r>
        <w:rPr>
          <w:rFonts w:ascii="Calibri" w:hAnsi="Calibri"/>
        </w:rPr>
        <w:t xml:space="preserve">A Portaria MTE nº 1.419/2024 deu nova redação ao capítulo 1.5 da NR-1 e incluiu </w:t>
      </w:r>
      <w:r>
        <w:rPr>
          <w:rFonts w:ascii="Calibri" w:hAnsi="Calibri"/>
          <w:b/>
        </w:rPr>
        <w:t>expressamente os fatores de risco psicossociais</w:t>
      </w:r>
      <w:r>
        <w:rPr>
          <w:rFonts w:ascii="Calibri" w:hAnsi="Calibri"/>
        </w:rPr>
        <w:t xml:space="preserve"> no inventário de riscos. A vigência começou em </w:t>
      </w:r>
      <w:r>
        <w:rPr>
          <w:rFonts w:ascii="Calibri" w:hAnsi="Calibri"/>
          <w:b/>
        </w:rPr>
        <w:t>26 de maio de 2026</w:t>
      </w:r>
      <w:r>
        <w:rPr>
          <w:rFonts w:ascii="Calibri" w:hAnsi="Calibri"/>
        </w:rPr>
        <w:t>, e o período de dupla visita orientativa já se encerrou.</w:t>
      </w:r>
    </w:p>
    <w:p>
      <w:r>
        <w:rPr>
          <w:rFonts w:ascii="Calibri" w:hAnsi="Calibri"/>
        </w:rPr>
        <w:t>Não é uma obrigação nova e isolada: é a ampliação do escopo de um processo que a sua empresa já era obrigada a conduzir. O que mudou é que a ausência dela agora comporta auto de infração — art. 201 da CLT, com multas que a NR-28 situa entre R$ 2.396,35 e R$ 6.708,08, além de embargo ou interdição em irregularidades graves.</w:t>
      </w:r>
    </w:p>
    <w:p>
      <w:r>
        <w:rPr>
          <w:rFonts w:ascii="Calibri" w:hAnsi="Calibri"/>
          <w:i/>
        </w:rPr>
        <w:t>Apresentado para contextualização, com base no texto da norma e nas publicações oficiais do MTE. Não constitui parecer jurídico.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2. O que a fiscalização pede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Pergunta do auditor</w:t>
            </w:r>
          </w:p>
        </w:tc>
        <w:tc>
          <w:tcPr>
            <w:tcW w:type="dxa" w:w="306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Documento que responde</w:t>
            </w:r>
          </w:p>
        </w:tc>
        <w:tc>
          <w:tcPr>
            <w:tcW w:type="dxa" w:w="306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Base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Me mostre o levantamento dos riscos psicossociais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Inventário de riscos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1.5.7.3.2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Onde estão as medidas e os prazos?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Plano de ação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1.5.7.1 “b”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Com que critério vocês graduaram?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Documento de critérios do GRO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Manual MTE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Questionário basta?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Não — AEP, com métodos declarados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NR-17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O terceiro é o que a maioria das empresas descobre tarde: o texto da norma cita dois documentos mínimos, e o Manual do MTE relaciona o documento de critérios como igualmente obrigatório.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3. O que sua empresa recebe</w:t>
      </w:r>
    </w:p>
    <w:p>
      <w:r>
        <w:rPr>
          <w:rFonts w:ascii="Calibri" w:hAnsi="Calibri"/>
          <w:b/>
        </w:rPr>
        <w:t>Instrumento e coleta.</w:t>
      </w:r>
      <w:r>
        <w:rPr>
          <w:rFonts w:ascii="Calibri" w:hAnsi="Calibri"/>
        </w:rPr>
        <w:t xml:space="preserve"> Questionário psicossocial com 13 dimensões ancoradas nos perigos do Guia MTE 2025 e na ISO 45003:2021 — 39 itens, cerca de 7 minutos. Convites individuais anônimos, canal de apoio ao trabalhador obrigatório e aviso de finalidade com base legal declarada.</w:t>
      </w:r>
    </w:p>
    <w:p>
      <w:r>
        <w:rPr>
          <w:rFonts w:ascii="Calibri" w:hAnsi="Calibri"/>
          <w:b/>
        </w:rPr>
        <w:t>Os três documentos do PGR.</w:t>
      </w:r>
      <w:r>
        <w:rPr>
          <w:rFonts w:ascii="Calibri" w:hAnsi="Calibri"/>
        </w:rPr>
        <w:t xml:space="preserve"> Inventário com as nove informações mínimas; plano de ação com cronograma, responsável, forma de acompanhamento e forma de aferição por medida; e documento de critérios do GRO.</w:t>
      </w:r>
    </w:p>
    <w:p>
      <w:r>
        <w:rPr>
          <w:rFonts w:ascii="Calibri" w:hAnsi="Calibri"/>
          <w:b/>
        </w:rPr>
        <w:t>Estrutura da AEP.</w:t>
      </w:r>
      <w:r>
        <w:rPr>
          <w:rFonts w:ascii="Calibri" w:hAnsi="Calibri"/>
        </w:rPr>
        <w:t xml:space="preserve"> Um documento por unidade de avaliação, com cada evidência registrada pelo método de que veio — observação da atividade, diálogo com o trabalhador, pesquisa padronizada, oficina, grupo focal, análise documental, manifestação da CIPA.</w:t>
      </w:r>
    </w:p>
    <w:p>
      <w:r>
        <w:rPr>
          <w:rFonts w:ascii="Calibri" w:hAnsi="Calibri"/>
          <w:b/>
        </w:rPr>
        <w:t>Painel e acompanhamento.</w:t>
      </w:r>
      <w:r>
        <w:rPr>
          <w:rFonts w:ascii="Calibri" w:hAnsi="Calibri"/>
        </w:rPr>
        <w:t xml:space="preserve"> Gradação por severidade × probabilidade; recortes declarados insuficientes quando é o caso; comparação de eficácia entre ciclos; e revisão do risco residual disparada pela implementação de cada medida.</w:t>
      </w:r>
    </w:p>
    <w:p>
      <w:r>
        <w:rPr>
          <w:rFonts w:ascii="Calibri" w:hAnsi="Calibri"/>
          <w:b/>
        </w:rPr>
        <w:t>Base de consulta.</w:t>
      </w:r>
      <w:r>
        <w:rPr>
          <w:rFonts w:ascii="Calibri" w:hAnsi="Calibri"/>
        </w:rPr>
        <w:t xml:space="preserve"> O texto integral do capítulo 1.5, o Guia e o Manual do MTE disponíveis para consulta, com a fonte citada em cada resposta.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3.1 Por que isso é diferente do que costuma ser oferecido</w:t>
      </w:r>
    </w:p>
    <w:p>
      <w:r>
        <w:rPr>
          <w:rFonts w:ascii="Calibri" w:hAnsi="Calibri"/>
          <w:b/>
        </w:rPr>
        <w:t>1. O setor que não alcançar o mínimo de respostas continua no relatório.</w:t>
      </w:r>
      <w:r>
        <w:rPr>
          <w:rFonts w:ascii="Calibri" w:hAnsi="Calibri"/>
        </w:rPr>
        <w:t xml:space="preserve"> Não como anexo, não omitido: entra no mesmo inventário como linha declarada insuficiente, dizendo qual portão barrou, qual o caminho, e que aquilo </w:t>
      </w:r>
      <w:r>
        <w:rPr>
          <w:rFonts w:ascii="Calibri" w:hAnsi="Calibri"/>
          <w:b/>
        </w:rPr>
        <w:t>não</w:t>
      </w:r>
      <w:r>
        <w:rPr>
          <w:rFonts w:ascii="Calibri" w:hAnsi="Calibri"/>
        </w:rPr>
        <w:t xml:space="preserve"> significa ausência de risco. Relatório com um setor faltando afirma, pelo silêncio, que aquele setor está bem — e é a única conclusão que a falta de dado nunca autoriza.</w:t>
      </w:r>
    </w:p>
    <w:p>
      <w:r>
        <w:rPr>
          <w:rFonts w:ascii="Calibri" w:hAnsi="Calibri"/>
          <w:b/>
        </w:rPr>
        <w:t>2. Quando a medida não funcionar, o relatório vai dizer.</w:t>
      </w:r>
      <w:r>
        <w:rPr>
          <w:rFonts w:ascii="Calibri" w:hAnsi="Calibri"/>
        </w:rPr>
        <w:t xml:space="preserve"> A eficácia é medida comparando cada setor contra a própria linha de base dele, e a classificação usa o limite conservador do intervalo. Se o resultado ficar dentro da margem de erro, o veredito é </w:t>
      </w:r>
      <w:r>
        <w:rPr>
          <w:rFonts w:ascii="Calibri" w:hAnsi="Calibri"/>
          <w:i/>
        </w:rPr>
        <w:t>sem mudança</w:t>
      </w:r>
      <w:r>
        <w:rPr>
          <w:rFonts w:ascii="Calibri" w:hAnsi="Calibri"/>
        </w:rPr>
        <w:t xml:space="preserve"> — mesmo que a média tenha melhorado. Fornecedor que só reporta melhora não está medindo.</w:t>
      </w:r>
    </w:p>
    <w:p>
      <w:r>
        <w:rPr>
          <w:rFonts w:ascii="Calibri" w:hAnsi="Calibri"/>
          <w:b/>
        </w:rPr>
        <w:t>3. Ninguém da sua empresa vê a resposta de uma pessoa.</w:t>
      </w:r>
      <w:r>
        <w:rPr>
          <w:rFonts w:ascii="Calibri" w:hAnsi="Calibri"/>
        </w:rPr>
        <w:t xml:space="preserve"> Não é uma permissão que alguém possa afrouxar: as tabelas de resposta individual não têm política de leitura, e a única saída do banco é uma função que já aplica os pisos de grupo. Podemos demonstrar ao vivo.</w:t>
      </w:r>
    </w:p>
    <w:p>
      <w:r>
        <w:rPr>
          <w:rFonts w:ascii="Calibri" w:hAnsi="Calibri"/>
          <w:b/>
        </w:rPr>
        <w:t>4. Não entregamos nome de trabalhador — nem existe campo para ele.</w:t>
      </w:r>
      <w:r>
        <w:rPr>
          <w:rFonts w:ascii="Calibri" w:hAnsi="Calibri"/>
        </w:rPr>
        <w:t xml:space="preserve"> Você fornece a matrícula; o sistema guarda um código criptográfico dela, nunca o par entre o código e o link.</w:t>
      </w:r>
    </w:p>
    <w:p>
      <w:r>
        <w:rPr>
          <w:rFonts w:ascii="Calibri" w:hAnsi="Calibri"/>
          <w:b/>
        </w:rPr>
        <w:t>5. O plano de ação não fecha pela metade.</w:t>
      </w:r>
      <w:r>
        <w:rPr>
          <w:rFonts w:ascii="Calibri" w:hAnsi="Calibri"/>
        </w:rPr>
        <w:t xml:space="preserve"> Cronograma, responsável, forma de acompanhamento e forma de aferição são exigidos em cada medida. Implementada a medida, a reavaliação do risco é marcada sozinha.</w:t>
      </w:r>
    </w:p>
    <w:p>
      <w:r>
        <w:rPr>
          <w:rFonts w:ascii="Calibri" w:hAnsi="Calibri"/>
          <w:b/>
        </w:rPr>
        <w:t>6. O critério não muda depois do resultado.</w:t>
      </w:r>
      <w:r>
        <w:rPr>
          <w:rFonts w:ascii="Calibri" w:hAnsi="Calibri"/>
        </w:rPr>
        <w:t xml:space="preserve"> O documento de critérios de cada ciclo fica congelado com ele — e é a primeira coisa que uma perícia procura.</w:t>
      </w:r>
    </w:p>
    <w:p>
      <w:r>
        <w:rPr>
          <w:rFonts w:ascii="Calibri" w:hAnsi="Calibri"/>
          <w:b/>
        </w:rPr>
        <w:t>7. Resposta vazia não conta.</w:t>
      </w:r>
      <w:r>
        <w:rPr>
          <w:rFonts w:ascii="Calibri" w:hAnsi="Calibri"/>
        </w:rPr>
        <w:t xml:space="preserve"> Só entra na conta quem respondeu ao menos metade das dimensões. Sem isso, a adesão vira número inflado e o retrato, ficção.</w:t>
      </w:r>
    </w:p>
    <w:p>
      <w:r>
        <w:rPr>
          <w:rFonts w:ascii="Calibri" w:hAnsi="Calibri"/>
          <w:b/>
        </w:rPr>
        <w:t>8. Nada é divulgado enquanto a coleta está aberta.</w:t>
      </w:r>
      <w:r>
        <w:rPr>
          <w:rFonts w:ascii="Calibri" w:hAnsi="Calibri"/>
        </w:rPr>
        <w:t xml:space="preserve"> Não existe resultado parcial que pressione a comunicação interna a “melhorar o número” no meio do caminho.</w:t>
      </w:r>
    </w:p>
    <w:p>
      <w:r>
        <w:rPr>
          <w:rFonts w:ascii="Calibri" w:hAnsi="Calibri"/>
          <w:b/>
        </w:rPr>
        <w:t>9. Toda campanha exige um canal de apoio declarado</w:t>
      </w:r>
      <w:r>
        <w:rPr>
          <w:rFonts w:ascii="Calibri" w:hAnsi="Calibri"/>
        </w:rPr>
        <w:t xml:space="preserve"> — o sistema recusa abrir a coleta sem ele. Perguntar sobre sofrimento sem dizer para onde ir é a falha que mais rápido destrói a participação no ciclo seguinte.</w:t>
      </w:r>
    </w:p>
    <w:p>
      <w:r>
        <w:rPr>
          <w:rFonts w:ascii="Calibri" w:hAnsi="Calibri"/>
          <w:b/>
        </w:rPr>
        <w:t>10. Você opera o ciclo, não depende de nós a cada passo.</w:t>
      </w:r>
      <w:r>
        <w:rPr>
          <w:rFonts w:ascii="Calibri" w:hAnsi="Calibri"/>
        </w:rPr>
        <w:t xml:space="preserve"> Cadastro, campanha, convites, encerramento e documentos ficam na sua mão.</w:t>
      </w:r>
    </w:p>
    <w:p>
      <w:r>
        <w:rPr>
          <w:rFonts w:ascii="Calibri" w:hAnsi="Calibri"/>
          <w:b/>
        </w:rPr>
        <w:t>11. Base de consulta incluída, sem cobrança adicional.</w:t>
      </w:r>
      <w:r>
        <w:rPr>
          <w:rFonts w:ascii="Calibri" w:hAnsi="Calibri"/>
        </w:rPr>
        <w:t xml:space="preserve"> O FROID Explica NR-1 responde sobre a norma, o contrato e a operação, citando a fonte — inclusive as perguntas que o trabalhador faz, com a resposta pronta para o RH repassar.</w:t>
      </w:r>
    </w:p>
    <w:p>
      <w:r>
        <w:rPr>
          <w:rFonts w:ascii="Calibri" w:hAnsi="Calibri"/>
          <w:b/>
        </w:rPr>
        <w:t>12. O preço não tem degraus.</w:t>
      </w:r>
      <w:r>
        <w:rPr>
          <w:rFonts w:ascii="Calibri" w:hAnsi="Calibri"/>
        </w:rPr>
        <w:t xml:space="preserve"> As faixas são cumulativas, como tarifa: crescer de 300 para 301 trabalhadores não muda de plano nem reprecifica o contrato.</w:t>
      </w:r>
    </w:p>
    <w:p>
      <w:r>
        <w:rPr>
          <w:rFonts w:ascii="Calibri" w:hAnsi="Calibri"/>
          <w:b/>
        </w:rPr>
        <w:t>13. A ressalva vem antes do contrato, não depois da coleta.</w:t>
      </w:r>
      <w:r>
        <w:rPr>
          <w:rFonts w:ascii="Calibri" w:hAnsi="Calibri"/>
        </w:rPr>
        <w:t xml:space="preserve"> Se pelo porte da sua empresa algum recorte não puder publicar, isso está dito nesta proposta — no item 5 — e não descoberto no fim do ciclo com o valor já pago.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Como comparar.</w:t>
      </w:r>
      <w:r>
        <w:rPr>
          <w:rFonts w:ascii="Calibri" w:hAnsi="Calibri"/>
          <w:color w:val="A2570C"/>
          <w:sz w:val="20"/>
        </w:rPr>
        <w:t xml:space="preserve"> Publicamos em froid.com.br/empresas#perguntas-fornecedor cinco perguntas de resposta difícil, com a nossa resposta ao lado. Faça-as a todos os fornecedores que aparecerem, inclusive a nós.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4. O que a sua empresa nunca vai ver, e por quê</w:t>
      </w:r>
    </w:p>
    <w:p>
      <w:r>
        <w:rPr>
          <w:rFonts w:ascii="Calibri" w:hAnsi="Calibri"/>
        </w:rPr>
        <w:t xml:space="preserve">O empregador </w:t>
      </w:r>
      <w:r>
        <w:rPr>
          <w:rFonts w:ascii="Calibri" w:hAnsi="Calibri"/>
          <w:b/>
        </w:rPr>
        <w:t>não acessa resposta individual</w:t>
      </w:r>
      <w:r>
        <w:rPr>
          <w:rFonts w:ascii="Calibri" w:hAnsi="Calibri"/>
        </w:rPr>
        <w:t>. Isso não é configuração de permissão que alguém possa afrouxar: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as tabelas com as respostas individuais </w:t>
      </w:r>
      <w:r>
        <w:rPr>
          <w:rFonts w:ascii="Calibri" w:hAnsi="Calibri"/>
          <w:b/>
        </w:rPr>
        <w:t>não têm política de leitura</w:t>
      </w:r>
      <w:r>
        <w:rPr>
          <w:rFonts w:ascii="Calibri" w:hAnsi="Calibri"/>
        </w:rPr>
        <w:t>, e o papel com que o sistema funciona não tem permissão sobre elas;</w:t>
      </w:r>
    </w:p>
    <w:p>
      <w:pPr>
        <w:pStyle w:val="ListBullet"/>
        <w:spacing w:after="80"/>
      </w:pPr>
      <w:r>
        <w:rPr>
          <w:rFonts w:ascii="Calibri" w:hAnsi="Calibri"/>
        </w:rPr>
        <w:t>a única saída possível do banco é uma função de agregação que já aplica os pisos mínimos de grupo;</w:t>
      </w:r>
    </w:p>
    <w:p>
      <w:pPr>
        <w:pStyle w:val="ListBullet"/>
        <w:spacing w:after="80"/>
      </w:pPr>
      <w:r>
        <w:rPr>
          <w:rFonts w:ascii="Calibri" w:hAnsi="Calibri"/>
          <w:b/>
        </w:rPr>
        <w:t>nenhum nome de trabalhador é fornecido à plataforma</w:t>
      </w:r>
      <w:r>
        <w:rPr>
          <w:rFonts w:ascii="Calibri" w:hAnsi="Calibri"/>
        </w:rPr>
        <w:t xml:space="preserve"> — não existe campo. A empresa fornece a matrícula; o sistema guarda um pseudônimo criptográfico dela e o resumo do link, nunca o par entre os dois;</w:t>
      </w:r>
    </w:p>
    <w:p>
      <w:pPr>
        <w:pStyle w:val="ListBullet"/>
        <w:spacing w:after="80"/>
      </w:pPr>
      <w:r>
        <w:rPr>
          <w:rFonts w:ascii="Calibri" w:hAnsi="Calibri"/>
        </w:rPr>
        <w:t>nenhum resultado é liberado enquanto a coleta está aberta.</w:t>
      </w:r>
    </w:p>
    <w:p>
      <w:r>
        <w:rPr>
          <w:rFonts w:ascii="Calibri" w:hAnsi="Calibri"/>
        </w:rPr>
        <w:t>Isso protege a empresa tanto quanto o trabalhador: quem desconfia responde o que é seguro, não o que é verdade — e aí a empresa paga por um retrato que não corresponde à realidade dela.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5. O dimensionamento da sua empresa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Preencher com os dados do cliente</w:t>
      </w:r>
      <w:r>
        <w:rPr>
          <w:rFonts w:ascii="Calibri" w:hAnsi="Calibri"/>
          <w:color w:val="A2570C"/>
          <w:sz w:val="20"/>
        </w:rPr>
        <w:t>, usando a tabela do item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Item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Valor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Efetivo do período de referência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onsolas" w:hAnsi="Consolas"/>
                <w:color w:val="A2570C"/>
                <w:sz w:val="20"/>
              </w:rPr>
              <w:t>[___]</w:t>
            </w:r>
            <w:r>
              <w:rPr>
                <w:rFonts w:ascii="Calibri" w:hAnsi="Calibri"/>
                <w:sz w:val="20"/>
              </w:rPr>
              <w:t xml:space="preserve"> trabalhadores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Estabelecimentos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onsolas" w:hAnsi="Consolas"/>
                <w:color w:val="A2570C"/>
                <w:sz w:val="20"/>
              </w:rPr>
              <w:t>[___]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b/>
                <w:sz w:val="20"/>
              </w:rPr>
              <w:t>Respostas substantivas exigidas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`[___]`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Caminho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onsolas" w:hAnsi="Consolas"/>
                <w:color w:val="A2570C"/>
                <w:sz w:val="20"/>
              </w:rPr>
              <w:t>[só AEP / campanha em censo / campanha por amostra]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A ressalva que fazemos antes do contrato</w:t>
      </w:r>
    </w:p>
    <w:p>
      <w:r>
        <w:rPr>
          <w:rFonts w:ascii="Calibri" w:hAnsi="Calibri"/>
        </w:rPr>
        <w:t xml:space="preserve">São dois pisos, e ambos valem sempre. O </w:t>
      </w:r>
      <w:r>
        <w:rPr>
          <w:rFonts w:ascii="Calibri" w:hAnsi="Calibri"/>
          <w:b/>
        </w:rPr>
        <w:t>de anonimato</w:t>
      </w:r>
      <w:r>
        <w:rPr>
          <w:rFonts w:ascii="Calibri" w:hAnsi="Calibri"/>
        </w:rPr>
        <w:t xml:space="preserve"> exige 15 respostas na campanha e 10 por recorte — números absolutos, que protegem a pessoa. O </w:t>
      </w:r>
      <w:r>
        <w:rPr>
          <w:rFonts w:ascii="Calibri" w:hAnsi="Calibri"/>
          <w:b/>
        </w:rPr>
        <w:t>de representatividade</w:t>
      </w:r>
      <w:r>
        <w:rPr>
          <w:rFonts w:ascii="Calibri" w:hAnsi="Calibri"/>
        </w:rPr>
        <w:t xml:space="preserve"> exige a amostra que fala pelo efetivo declarado, a 95% de confiança e margem de 5 pontos.</w:t>
      </w:r>
    </w:p>
    <w:p>
      <w:r>
        <w:rPr>
          <w:rFonts w:ascii="Calibri" w:hAnsi="Calibri"/>
        </w:rPr>
        <w:t xml:space="preserve">Consequência que precisa ser dita agora: </w:t>
      </w:r>
      <w:r>
        <w:rPr>
          <w:rFonts w:ascii="Calibri" w:hAnsi="Calibri"/>
          <w:b/>
        </w:rPr>
        <w:t>abaixo de 98 pessoas a amostra exigida alcança o quadro inteiro</w:t>
      </w:r>
      <w:r>
        <w:rPr>
          <w:rFonts w:ascii="Calibri" w:hAnsi="Calibri"/>
        </w:rPr>
        <w:t xml:space="preserve"> — o recorte só publica em censo, e uma única recusa o suspende. Abaixo de 15 pessoas nenhuma campanha publica, por mais adesão que haja, e o caminho correto é a AEP.</w:t>
      </w:r>
    </w:p>
    <w:p>
      <w:r>
        <w:rPr>
          <w:rFonts w:ascii="Calibri" w:hAnsi="Calibri"/>
        </w:rPr>
        <w:t xml:space="preserve">Recorte que não vence o portão </w:t>
      </w:r>
      <w:r>
        <w:rPr>
          <w:rFonts w:ascii="Calibri" w:hAnsi="Calibri"/>
          <w:b/>
        </w:rPr>
        <w:t>não some do relatório</w:t>
      </w:r>
      <w:r>
        <w:rPr>
          <w:rFonts w:ascii="Calibri" w:hAnsi="Calibri"/>
        </w:rPr>
        <w:t>: entra no mesmo inventário como linha declarada insuficiente, com o portão que falhou e o caminho de remédio. Relatório vazio seria lido como “não há risco aqui”, que é a única conclusão que a ausência de dado nunca autoriza.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6.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Componente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Valor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Base da plataforma, por unidade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R$ 1.200,00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 1 a 100 trabalhadores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R$ 9,00 / trabalhador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 101 a 300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R$ 7,00 / trabalhador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 301 a 1.000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R$ 5,00 / trabalhador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Acima de 1.000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R$ 3,00 / trabalhador / mês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As faixas são cumulativas e incidem sobre o efetivo total. A base é por unidade — estabelecimento, não departamento: cinco setores no mesmo endereço são uma base, não cinco.</w:t>
      </w:r>
    </w:p>
    <w:p>
      <w:r>
        <w:rPr>
          <w:rFonts w:ascii="Calibri" w:hAnsi="Calibri"/>
          <w:b/>
        </w:rPr>
        <w:t>Cada estabelecimento é uma unidade de avaliação</w:t>
      </w:r>
      <w:r>
        <w:rPr>
          <w:rFonts w:ascii="Calibri" w:hAnsi="Calibri"/>
        </w:rPr>
        <w:t xml:space="preserve"> e recebe entrega própria: estrutura cadastrada com seus setores, convites emitidos por unidade, documento de AEP próprio e linha própria no inventário.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6.1 Sua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Mensal de tabela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 xml:space="preserve">R$ </w:t>
            </w:r>
            <w:r>
              <w:rPr>
                <w:rFonts w:ascii="Consolas" w:hAnsi="Consolas"/>
                <w:color w:val="A2570C"/>
                <w:sz w:val="20"/>
              </w:rPr>
              <w:t>[_____]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b/>
                <w:sz w:val="20"/>
              </w:rPr>
              <w:t>Anual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R$ `[_____]`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Anual com condição de pioneiro (15%, até 31/12/2026)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R$ `[_____]`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6.2 Item adicional — condução da AEP em campo</w:t>
      </w:r>
    </w:p>
    <w:p>
      <w:r>
        <w:rPr>
          <w:rFonts w:ascii="Calibri" w:hAnsi="Calibri"/>
        </w:rPr>
        <w:t>A observação da atividade real e o diálogo com os trabalhadores são exigidos pela AEP e feitos por pessoa, não por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Modalidade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Por estabelecimento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Presencial, até 50 trabalhadores no endereço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R$ 2.900,00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Presencial, de 51 a 150 trabalhadores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R$ 4.400,00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Remota — rodas de diálogo por vídeo e análise documental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R$ 1.600,00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Deslocamento e hospedagem reembolsados a custo. A modalidade remota se aplica a endereço de atividade administrativa; em operação industrial, logística ou de atendimento presencial, a visita é necessária.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7. Prazos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Etapa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Prazo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Contrato e cadastro da estrutura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Lista de matrícula e setor, aviso de finalidade e canal de apoio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D+2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Emissão e distribuição dos convites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D+5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Coleta aberta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15 a 21 dias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Encerramento, inventário, plano de ação e critérios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D+30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O prazo de coleta é a variável que mais depende da sua empresa: adesão responde a comunicação interna, apoio da liderança e tempo concedido dentro do expediente.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8. Anexo — consulta rápida por porte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Uso interno da TATICCA.</w:t>
      </w:r>
      <w:r>
        <w:rPr>
          <w:rFonts w:ascii="Calibri" w:hAnsi="Calibri"/>
          <w:color w:val="A2570C"/>
          <w:sz w:val="20"/>
        </w:rPr>
        <w:t xml:space="preserve"> Base de um estabelecimento. Para mais de um, somar R$ 1.200,00/mês por endereço adicional. Não enviar este anexo ao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Efetivo</w:t>
            </w:r>
          </w:p>
        </w:tc>
        <w:tc>
          <w:tcPr>
            <w:tcW w:type="dxa" w:w="153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Mensal</w:t>
            </w:r>
          </w:p>
        </w:tc>
        <w:tc>
          <w:tcPr>
            <w:tcW w:type="dxa" w:w="153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Anual</w:t>
            </w:r>
          </w:p>
        </w:tc>
        <w:tc>
          <w:tcPr>
            <w:tcW w:type="dxa" w:w="153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Anual −15%</w:t>
            </w:r>
          </w:p>
        </w:tc>
        <w:tc>
          <w:tcPr>
            <w:tcW w:type="dxa" w:w="153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Respostas exigidas</w:t>
            </w:r>
          </w:p>
        </w:tc>
        <w:tc>
          <w:tcPr>
            <w:tcW w:type="dxa" w:w="153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Caminho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R$ 1.290,00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R$ 15.480,00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R$ 13.158,00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só AEP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R$ 1.380,00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R$ 16.560,00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R$ 14.076,00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em censo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R$ 1.650,00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R$ 19.800,00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R$ 16.830,00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em censo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97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R$ 2.073,00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R$ 24.876,00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R$ 21.144,60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97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em censo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98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R$ 2.082,00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R$ 24.984,00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R$ 21.236,40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79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por amostra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R$ 2.450,00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R$ 29.400,00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R$ 24.990,00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109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por amostra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R$ 3.500,00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R$ 42.000,00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R$ 35.700,00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169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por amostra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R$ 4.500,00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R$ 54.000,00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R$ 45.900,00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218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por amostra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R$ 7.000,00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R$ 84.000,00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R$ 71.400,00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278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por amostra</w:t>
            </w:r>
          </w:p>
        </w:tc>
      </w:tr>
      <w:tr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3.000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R$ 13.000,00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R$ 156.000,00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R$ 132.600,00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341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/>
                <w:sz w:val="20"/>
              </w:rPr>
              <w:t>campanha por amostra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</w:rPr>
        <w:t>A curva achata.</w:t>
      </w:r>
      <w:r>
        <w:rPr>
          <w:rFonts w:ascii="Calibri" w:hAnsi="Calibri"/>
        </w:rPr>
        <w:t xml:space="preserve"> Dobrar a empresa não dobra a exigência de respostas: 300 pessoas precisam de 169, e 3.000 precisam de 341. Empresa grande tem folga; empresa de 15 a 97 entra por censo, e </w:t>
      </w:r>
      <w:r>
        <w:rPr>
          <w:rFonts w:ascii="Calibri" w:hAnsi="Calibri"/>
          <w:b/>
        </w:rPr>
        <w:t>isso precisa ser dito na proposta, não depois da coleta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A faixa de 15 a 97 é a que exige cuidado comercial.</w:t>
      </w:r>
      <w:r>
        <w:rPr>
          <w:rFonts w:ascii="Calibri" w:hAnsi="Calibri"/>
        </w:rPr>
        <w:t xml:space="preserve"> Ali a fórmula pede todo mundo, e uma única recusa suspende o resultado. Vender campanha nessa faixa sem avisar produz cliente insatisfeito no fim do ciclo. O caminho honesto é vender a AEP — obrigatória de todo modo, sem piso de respondentes — e a campanha como complemento, quando a adesão for garantida pela liderança.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9. O que não está incluído</w:t>
      </w:r>
    </w:p>
    <w:p>
      <w:r>
        <w:rPr>
          <w:rFonts w:ascii="Calibri" w:hAnsi="Calibri"/>
        </w:rPr>
        <w:t>Laudo técnico, avaliação de riscos físicos, químicos, biológicos ou de acidentes, elaboração ou assinatura do PGR, serviços de SESMT, exames ocupacionais e assessoria jurídica.</w:t>
      </w:r>
    </w:p>
    <w:p>
      <w:r>
        <w:rPr>
          <w:rFonts w:ascii="Calibri" w:hAnsi="Calibri"/>
        </w:rPr>
        <w:t xml:space="preserve">A contratação </w:t>
      </w:r>
      <w:r>
        <w:rPr>
          <w:rFonts w:ascii="Calibri" w:hAnsi="Calibri"/>
          <w:b/>
        </w:rPr>
        <w:t>não transfere</w:t>
      </w:r>
      <w:r>
        <w:rPr>
          <w:rFonts w:ascii="Calibri" w:hAnsi="Calibri"/>
        </w:rPr>
        <w:t xml:space="preserve"> a responsabilidade legal da sua empresa pelo Gerenciamento de Riscos Ocupacionais. A avaliação é instrumento técnico documentado que apoia esse gerenciamento — a decisão sobre as medidas, a implementação e a assinatura dos documentos permanecem da organização.</w:t>
      </w:r>
    </w:p>
    <w:p>
      <w:pPr>
        <w:spacing w:before="80"/>
        <w:pBdr>
          <w:bottom w:val="single" w:sz="6" w:color="C9CFD8"/>
        </w:pBdr>
      </w:pPr>
    </w:p>
    <w:p>
      <w:r>
        <w:rPr>
          <w:rFonts w:ascii="Consolas" w:hAnsi="Consolas"/>
          <w:color w:val="A2570C"/>
        </w:rPr>
        <w:t>[TATICCA Auditores Independentes]</w:t>
      </w:r>
      <w:r>
        <w:rPr>
          <w:rFonts w:ascii="Calibri" w:hAnsi="Calibri"/>
        </w:rPr>
        <w:t xml:space="preserve"> · </w:t>
      </w:r>
      <w:r>
        <w:rPr>
          <w:rFonts w:ascii="Consolas" w:hAnsi="Consolas"/>
          <w:color w:val="A2570C"/>
        </w:rPr>
        <w:t>[contato]</w:t>
      </w:r>
      <w:r>
        <w:rPr>
          <w:rFonts w:ascii="Calibri" w:hAnsi="Calibri"/>
        </w:rPr>
        <w:t xml:space="preserve"> Plataforma FROID NR-1 · froid@froid.com.br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01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