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20"/>
      </w:pPr>
      <w:r>
        <w:rPr>
          <w:rFonts w:ascii="Calibri" w:hAnsi="Calibri"/>
          <w:b/>
          <w:color w:val="101620"/>
          <w:sz w:val="40"/>
        </w:rPr>
        <w:t>Proposta comercial — FROID NR-1</w:t>
      </w:r>
    </w:p>
    <w:p>
      <w:pPr>
        <w:spacing w:after="40"/>
      </w:pPr>
      <w:r>
        <w:rPr>
          <w:rFonts w:ascii="Calibri" w:hAnsi="Calibri"/>
          <w:b/>
        </w:rPr>
        <w:t>Para:</w:t>
      </w:r>
      <w:r>
        <w:rPr>
          <w:rFonts w:ascii="Calibri" w:hAnsi="Calibri"/>
        </w:rPr>
        <w:t xml:space="preserve"> TATICCA Auditores Independentes</w:t>
      </w:r>
    </w:p>
    <w:p>
      <w:pPr>
        <w:spacing w:after="40"/>
      </w:pPr>
      <w:r>
        <w:rPr>
          <w:rFonts w:ascii="Calibri" w:hAnsi="Calibri"/>
          <w:b/>
        </w:rPr>
        <w:t>De:</w:t>
      </w:r>
      <w:r>
        <w:rPr>
          <w:rFonts w:ascii="Calibri" w:hAnsi="Calibri"/>
        </w:rPr>
        <w:t xml:space="preserve"> FROID</w:t>
      </w:r>
    </w:p>
    <w:p>
      <w:pPr>
        <w:spacing w:after="40"/>
      </w:pPr>
      <w:r>
        <w:rPr>
          <w:rFonts w:ascii="Calibri" w:hAnsi="Calibri"/>
          <w:b/>
        </w:rPr>
        <w:t>Data:</w:t>
      </w:r>
      <w:r>
        <w:rPr>
          <w:rFonts w:ascii="Calibri" w:hAnsi="Calibri"/>
        </w:rPr>
        <w:t xml:space="preserve"> 28 de agosto de 2026</w:t>
      </w:r>
    </w:p>
    <w:p>
      <w:pPr>
        <w:spacing w:after="40"/>
      </w:pPr>
      <w:r>
        <w:rPr>
          <w:rFonts w:ascii="Calibri" w:hAnsi="Calibri"/>
          <w:b/>
        </w:rPr>
        <w:t>Validade desta proposta:</w:t>
      </w:r>
      <w:r>
        <w:rPr>
          <w:rFonts w:ascii="Calibri" w:hAnsi="Calibri"/>
        </w:rPr>
        <w:t xml:space="preserve"> 30 dias</w:t>
      </w:r>
    </w:p>
    <w:p>
      <w:pPr>
        <w:spacing w:before="160" w:after="200"/>
        <w:ind w:left="340"/>
      </w:pPr>
      <w:r>
        <w:rPr>
          <w:rFonts w:ascii="Calibri" w:hAnsi="Calibri"/>
          <w:b/>
          <w:color w:val="A2570C"/>
          <w:sz w:val="20"/>
        </w:rPr>
        <w:t>Antes de enviar, decidir:</w:t>
      </w:r>
      <w:r>
        <w:rPr>
          <w:rFonts w:ascii="Calibri" w:hAnsi="Calibri"/>
          <w:color w:val="A2570C"/>
          <w:sz w:val="20"/>
        </w:rPr>
        <w:t xml:space="preserve"> o valor da condução da AEP em campo (item 7.2), o percentual de canal (item 8) e a forma de pagamento. Todo o resto está calculado.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1. Contexto</w:t>
      </w:r>
    </w:p>
    <w:p>
      <w:r>
        <w:rPr>
          <w:rFonts w:ascii="Calibri" w:hAnsi="Calibri"/>
        </w:rPr>
        <w:t xml:space="preserve">A Portaria MTE nº 1.419/2024 deu nova redação ao capítulo 1.5 da NR-1 e incluiu expressamente os fatores de risco psicossociais no inventário de riscos. A vigência, prorrogada pela Portaria MTE nº 765/2025, começou em </w:t>
      </w:r>
      <w:r>
        <w:rPr>
          <w:rFonts w:ascii="Calibri" w:hAnsi="Calibri"/>
          <w:b/>
        </w:rPr>
        <w:t>26 de maio de 2026</w:t>
      </w:r>
      <w:r>
        <w:rPr>
          <w:rFonts w:ascii="Calibri" w:hAnsi="Calibri"/>
        </w:rPr>
        <w:t>, e o período de dupla visita orientativa já se encerrou.</w:t>
      </w:r>
    </w:p>
    <w:p>
      <w:r>
        <w:rPr>
          <w:rFonts w:ascii="Calibri" w:hAnsi="Calibri"/>
        </w:rPr>
        <w:t>O descumprimento comporta auto de infração nos termos do art. 201 da CLT, com multas que a NR-28 situa entre R$ 2.396,35 e R$ 6.708,08, além de embargo ou interdição em irregularidades graves.</w:t>
      </w:r>
    </w:p>
    <w:p>
      <w:r>
        <w:rPr>
          <w:rFonts w:ascii="Calibri" w:hAnsi="Calibri"/>
          <w:i/>
        </w:rPr>
        <w:t>Os enquadramentos acima são apresentados para contextualização, com base no texto da norma e nas publicações oficiais do MTE. Não constituem parecer jurídico.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2. Objeto</w:t>
      </w:r>
    </w:p>
    <w:p>
      <w:r>
        <w:rPr>
          <w:rFonts w:ascii="Calibri" w:hAnsi="Calibri"/>
        </w:rPr>
        <w:t xml:space="preserve">Prestação do serviço </w:t>
      </w:r>
      <w:r>
        <w:rPr>
          <w:rFonts w:ascii="Calibri" w:hAnsi="Calibri"/>
          <w:b/>
        </w:rPr>
        <w:t>FROID NR-1</w:t>
      </w:r>
      <w:r>
        <w:rPr>
          <w:rFonts w:ascii="Calibri" w:hAnsi="Calibri"/>
        </w:rPr>
        <w:t>, instrumento técnico documentado de identificação de perigos, caracterização da exposição, avaliação e classificação dos fatores de risco psicossociais relacionados ao trabalho, destinado a integrar as etapas pertinentes da Avaliação Ergonômica Preliminar (AEP) e a apoiar a elaboração e o acompanhamento do PGR da contratante.</w:t>
      </w:r>
    </w:p>
    <w:p>
      <w:r>
        <w:rPr>
          <w:rFonts w:ascii="Calibri" w:hAnsi="Calibri"/>
        </w:rPr>
        <w:t xml:space="preserve">A contratação </w:t>
      </w:r>
      <w:r>
        <w:rPr>
          <w:rFonts w:ascii="Calibri" w:hAnsi="Calibri"/>
          <w:b/>
        </w:rPr>
        <w:t>não transfere</w:t>
      </w:r>
      <w:r>
        <w:rPr>
          <w:rFonts w:ascii="Calibri" w:hAnsi="Calibri"/>
        </w:rPr>
        <w:t xml:space="preserve"> ao FROID a responsabilidade legal da contratante pelo Gerenciamento de Riscos Ocupacionais.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3. Dimensionamento da TATICCA</w:t>
      </w:r>
    </w:p>
    <w:p>
      <w:r>
        <w:rPr>
          <w:rFonts w:ascii="Calibri" w:hAnsi="Calibri"/>
        </w:rPr>
        <w:t>Calculado sobre a estrutura cadastrada em 26/08/2026.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Item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Trabalhadores (efetivo da estrutura)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263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Estabelecimentos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11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Setores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19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b/>
                <w:sz w:val="20"/>
              </w:rPr>
              <w:t>Respostas substantivas exigidas na campanha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157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Estabelecimentos que publicam recorte próprio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As 157 respostas resultam de amostra para proporção com correção de população finita, a 95% de confiança e margem de 5 pontos percentuais, em p = 0,5.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3.1 Ressalva de dimensionamento</w:t>
      </w:r>
    </w:p>
    <w:p>
      <w:r>
        <w:rPr>
          <w:rFonts w:ascii="Calibri" w:hAnsi="Calibri"/>
        </w:rPr>
        <w:t xml:space="preserve">Com cerca de 23 pessoas por endereço, </w:t>
      </w:r>
      <w:r>
        <w:rPr>
          <w:rFonts w:ascii="Calibri" w:hAnsi="Calibri"/>
          <w:b/>
        </w:rPr>
        <w:t>nenhum dos 11 estabelecimentos publica relatório próprio</w:t>
      </w:r>
      <w:r>
        <w:rPr>
          <w:rFonts w:ascii="Calibri" w:hAnsi="Calibri"/>
        </w:rPr>
        <w:t>: nesse tamanho a amostra exigida alcança o quadro inteiro, e uma única recusa suspende aquele recorte.</w:t>
      </w:r>
    </w:p>
    <w:p>
      <w:r>
        <w:rPr>
          <w:rFonts w:ascii="Calibri" w:hAnsi="Calibri"/>
        </w:rPr>
        <w:t xml:space="preserve">Isso não reduz a entrega. Cada recorte reprovado é registrado no </w:t>
      </w:r>
      <w:r>
        <w:rPr>
          <w:rFonts w:ascii="Calibri" w:hAnsi="Calibri"/>
          <w:b/>
        </w:rPr>
        <w:t>mesmo inventário</w:t>
      </w:r>
      <w:r>
        <w:rPr>
          <w:rFonts w:ascii="Calibri" w:hAnsi="Calibri"/>
        </w:rPr>
        <w:t xml:space="preserve"> como linha declarada insuficiente, nomeando o portão que barrou e o caminho de remédio — nunca em anexo, nunca omitido. A não publicação jamais é apresentada como avaliação favorável.</w:t>
      </w:r>
    </w:p>
    <w:p>
      <w:r>
        <w:rPr>
          <w:rFonts w:ascii="Calibri" w:hAnsi="Calibri"/>
        </w:rPr>
        <w:t>Registramos esta ressalva na proposta, e não depois da coleta, porque é exatamente a promessa que costuma quebrar no fim do ciclo.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4. Escopo incluído</w:t>
      </w:r>
    </w:p>
    <w:p>
      <w:r>
        <w:rPr>
          <w:rFonts w:ascii="Calibri" w:hAnsi="Calibri"/>
          <w:b/>
        </w:rPr>
        <w:t>Instrumento e coleta.</w:t>
      </w:r>
      <w:r>
        <w:rPr>
          <w:rFonts w:ascii="Calibri" w:hAnsi="Calibri"/>
        </w:rPr>
        <w:t xml:space="preserve"> Questionário psicossocial FROID v1 — 13 dimensões ancoradas nos perigos do Guia MTE 2025 e na ISO 45003:2021, 39 itens, cerca de 7 minutos. Convites individuais anônimos, com canal de apoio ao trabalhador obrigatório e aviso de finalidade com base legal declarada.</w:t>
      </w:r>
    </w:p>
    <w:p>
      <w:r>
        <w:rPr>
          <w:rFonts w:ascii="Calibri" w:hAnsi="Calibri"/>
          <w:b/>
        </w:rPr>
        <w:t>Os três documentos do PGR.</w:t>
      </w:r>
      <w:r>
        <w:rPr>
          <w:rFonts w:ascii="Calibri" w:hAnsi="Calibri"/>
        </w:rPr>
        <w:t xml:space="preserve"> Inventário de riscos com as nove informações mínimas do subitem 1.5.7.3.2; plano de ação com cronograma, responsável, forma de acompanhamento e forma de aferição por medida; e documento de critérios do GRO.</w:t>
      </w:r>
    </w:p>
    <w:p>
      <w:r>
        <w:rPr>
          <w:rFonts w:ascii="Calibri" w:hAnsi="Calibri"/>
          <w:b/>
        </w:rPr>
        <w:t>Estrutura da AEP.</w:t>
      </w:r>
      <w:r>
        <w:rPr>
          <w:rFonts w:ascii="Calibri" w:hAnsi="Calibri"/>
        </w:rPr>
        <w:t xml:space="preserve"> Documento por unidade de avaliação, com registro de evidência por método declarado — observação da atividade, diálogo com o trabalhador, pesquisa padronizada, oficina, grupo focal, análise documental, manifestação da CIPA.</w:t>
      </w:r>
    </w:p>
    <w:p>
      <w:r>
        <w:rPr>
          <w:rFonts w:ascii="Calibri" w:hAnsi="Calibri"/>
          <w:b/>
        </w:rPr>
        <w:t>Painel e acompanhamento.</w:t>
      </w:r>
      <w:r>
        <w:rPr>
          <w:rFonts w:ascii="Calibri" w:hAnsi="Calibri"/>
        </w:rPr>
        <w:t xml:space="preserve"> Gradação por severidade × probabilidade nos termos dos subitens 1.5.4.4.4.1 e 1.5.4.4.5.3; recortes declarados insuficientes; comparação de eficácia entre ciclos; e revisão do risco residual disparada pela implementação de medida.</w:t>
      </w:r>
    </w:p>
    <w:p>
      <w:r>
        <w:rPr>
          <w:rFonts w:ascii="Calibri" w:hAnsi="Calibri"/>
          <w:b/>
        </w:rPr>
        <w:t>FROID Explica NR-1.</w:t>
      </w:r>
      <w:r>
        <w:rPr>
          <w:rFonts w:ascii="Calibri" w:hAnsi="Calibri"/>
        </w:rPr>
        <w:t xml:space="preserve"> Base de consulta com o texto integral do capítulo 1.5, o Guia e o Manual do MTE, os documentos contratuais e a documentação do método, com a fonte citada em cada resposta.</w:t>
      </w:r>
    </w:p>
    <w:p>
      <w:r>
        <w:rPr>
          <w:rFonts w:ascii="Calibri" w:hAnsi="Calibri"/>
          <w:b/>
        </w:rPr>
        <w:t>Garantias estruturais.</w:t>
      </w:r>
      <w:r>
        <w:rPr>
          <w:rFonts w:ascii="Calibri" w:hAnsi="Calibri"/>
        </w:rPr>
        <w:t xml:space="preserve"> O empregador não acessa resposta individual — as tabelas correspondentes não possuem política de leitura e o papel de execução do sistema não tem permissão sobre elas. O FROID não recebe nome de trabalhador. Nenhum resultado é liberado com a coleta aberta.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5. Fora do escopo, cotado à parte</w:t>
      </w:r>
    </w:p>
    <w:p>
      <w:r>
        <w:rPr>
          <w:rFonts w:ascii="Calibri" w:hAnsi="Calibri"/>
          <w:b/>
        </w:rPr>
        <w:t>Condução da observação da atividade e do diálogo com os trabalhadores.</w:t>
      </w:r>
      <w:r>
        <w:rPr>
          <w:rFonts w:ascii="Calibri" w:hAnsi="Calibri"/>
        </w:rPr>
        <w:t xml:space="preserve"> A AEP exige métodos que só pessoa executa. O FROID entrega a estrutura, o registro por método e a sinalização quando a avaliação se apoia apenas em questionário; a condução em campo é item adicional, cotado por endereço.</w:t>
      </w:r>
    </w:p>
    <w:p>
      <w:r>
        <w:rPr>
          <w:rFonts w:ascii="Calibri" w:hAnsi="Calibri"/>
        </w:rPr>
        <w:t>Não estão incluídos: laudo técnico, avaliação de riscos físicos, químicos, biológicos ou de acidentes, elaboração ou assinatura do PGR, serviços de SESMT, exames ocupacionais e assessoria jurídica.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6. Prazos do ciclo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Etapa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Prazo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Contrato e cadastro da estrutura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Lista de matrícula e setor, aviso de finalidade e canal de apoio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D+2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Emissão e distribuição dos convites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D+5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Coleta aberta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15 a 21 dias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Encerramento, inventário, plano de ação e critérios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D+30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O prazo de coleta é a variável que mais depende da contratante: adesão responde a comunicação interna, apoio da liderança e tempo concedido dentro do expediente.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7. Investimento</w:t>
      </w:r>
    </w:p>
    <w:p>
      <w:r>
        <w:rPr>
          <w:rFonts w:ascii="Calibri" w:hAnsi="Calibri"/>
        </w:rPr>
        <w:t>Tabela publicada em froid.com.br/empresas#precos-nr1, sem exceção.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Componente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Base da plataforma, por unidade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R$ 1.200,00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1 a 100 trabalhadores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R$ 9,00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101 a 300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R$ 7,00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 301 a 1.000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R$ 5,00 / trabalhador / mês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Acima de 1.000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R$ 3,00 / trabalhador / mês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As faixas são cumulativas e incidem sobre o efetivo total. A base é por unidade — estabelecimento, não departamento: cinco setores no mesmo endereço são uma base, não cinco.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7.1 Aplicação à TATICCA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Componente</w:t>
            </w:r>
          </w:p>
        </w:tc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Cálculo</w:t>
            </w:r>
          </w:p>
        </w:tc>
        <w:tc>
          <w:tcPr>
            <w:tcW w:type="dxa" w:w="3061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Base da plataforma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11 estabelecimentos × R$ 1.200,00</w:t>
            </w:r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R$ 13.200,00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Faixa de 1 a 100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100 × R$ 9,00</w:t>
            </w:r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R$ 900,00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Faixa de 101 a 263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163 × R$ 7,00</w:t>
            </w:r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R$ 1.141,00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b/>
                <w:sz w:val="20"/>
              </w:rPr>
              <w:t>Mensal de tabela</w:t>
            </w:r>
          </w:p>
        </w:tc>
        <w:tc>
          <w:tcPr>
            <w:tcW w:type="dxa" w:w="3061"/>
          </w:tcPr>
          <w:p>
            <w:r/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R$ 15.241,00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/>
                <w:sz w:val="20"/>
              </w:rPr>
              <w:t>Anual de tabela</w:t>
            </w:r>
          </w:p>
        </w:tc>
        <w:tc>
          <w:tcPr>
            <w:tcW w:type="dxa" w:w="3061"/>
          </w:tcPr>
          <w:p>
            <w:r/>
          </w:p>
        </w:tc>
        <w:tc>
          <w:tcPr>
            <w:tcW w:type="dxa" w:w="3061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R$ 182.892,00</w:t>
            </w:r>
          </w:p>
        </w:tc>
      </w:tr>
    </w:tbl>
    <w:p>
      <w:pPr>
        <w:spacing w:after="120"/>
      </w:pP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7.2 O que a base por estabelecimento remunera</w:t>
      </w:r>
    </w:p>
    <w:p>
      <w:r>
        <w:rPr>
          <w:rFonts w:ascii="Calibri" w:hAnsi="Calibri"/>
        </w:rPr>
        <w:t xml:space="preserve">Cada um dos 11 endereços é uma </w:t>
      </w:r>
      <w:r>
        <w:rPr>
          <w:rFonts w:ascii="Calibri" w:hAnsi="Calibri"/>
          <w:b/>
        </w:rPr>
        <w:t>unidade de avaliação</w:t>
      </w:r>
      <w:r>
        <w:rPr>
          <w:rFonts w:ascii="Calibri" w:hAnsi="Calibri"/>
        </w:rPr>
        <w:t xml:space="preserve"> e recebe entrega própria: estrutura cadastrada com seus setores, convites emitidos e distribuídos por unidade, </w:t>
      </w:r>
      <w:r>
        <w:rPr>
          <w:rFonts w:ascii="Calibri" w:hAnsi="Calibri"/>
          <w:b/>
        </w:rPr>
        <w:t>documento de AEP próprio</w:t>
      </w:r>
      <w:r>
        <w:rPr>
          <w:rFonts w:ascii="Calibri" w:hAnsi="Calibri"/>
        </w:rPr>
        <w:t xml:space="preserve"> com as evidências do que se observa naquele endereço, e linha própria no inventário — classificada onde a coorte permite, e declarada com o portão e o caminho de remédio onde não permite.</w:t>
      </w:r>
    </w:p>
    <w:p>
      <w:r>
        <w:rPr>
          <w:rFonts w:ascii="Calibri" w:hAnsi="Calibri"/>
        </w:rPr>
        <w:t xml:space="preserve">O que a unidade pequena não produz é </w:t>
      </w:r>
      <w:r>
        <w:rPr>
          <w:rFonts w:ascii="Calibri" w:hAnsi="Calibri"/>
          <w:i/>
        </w:rPr>
        <w:t>recorte estatístico publicável</w:t>
      </w:r>
      <w:r>
        <w:rPr>
          <w:rFonts w:ascii="Calibri" w:hAnsi="Calibri"/>
        </w:rPr>
        <w:t xml:space="preserve"> (item 3.1). Isso é uma propriedade do tamanho do grupo, não uma redução da entrega — e é exatamente a informação que a norma exige registrar em vez de omitir.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4"/>
        </w:rPr>
        <w:t>7.3 Três formas de contratar</w:t>
      </w:r>
    </w:p>
    <w:p>
      <w:r>
        <w:rPr>
          <w:rFonts w:ascii="Calibri" w:hAnsi="Calibri"/>
        </w:rPr>
        <w:t>Todas cobrem o escopo integral do item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Modelo</w:t>
            </w:r>
          </w:p>
        </w:tc>
        <w:tc>
          <w:tcPr>
            <w:tcW w:type="dxa" w:w="2296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Valor</w:t>
            </w:r>
          </w:p>
        </w:tc>
        <w:tc>
          <w:tcPr>
            <w:tcW w:type="dxa" w:w="2296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Por trabalhador / mês</w:t>
            </w:r>
          </w:p>
        </w:tc>
        <w:tc>
          <w:tcPr>
            <w:tcW w:type="dxa" w:w="2296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O que inclui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Calibri" w:hAnsi="Calibri"/>
                <w:b/>
                <w:sz w:val="20"/>
              </w:rPr>
              <w:t>Anual</w:t>
            </w:r>
            <w:r>
              <w:rPr>
                <w:rFonts w:ascii="Calibri" w:hAnsi="Calibri"/>
                <w:sz w:val="20"/>
              </w:rPr>
              <w:t xml:space="preserve"> — recomendado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R$ 152.410,00 / ano</w:t>
            </w:r>
            <w:r>
              <w:rPr>
                <w:rFonts w:ascii="Calibri" w:hAnsi="Calibri"/>
                <w:sz w:val="20"/>
              </w:rPr>
              <w:t xml:space="preserve"> R$ 12.700,83 / mês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R$ 48,29</w:t>
            </w:r>
          </w:p>
        </w:tc>
        <w:tc>
          <w:tcPr>
            <w:tcW w:type="dxa" w:w="2296"/>
          </w:tcPr>
          <w:p>
            <w:r/>
            <w:r>
              <w:rPr>
                <w:rFonts w:ascii="Calibri" w:hAnsi="Calibri"/>
                <w:sz w:val="20"/>
              </w:rPr>
              <w:t>doze meses pagos como dez; os ciclos do ano, painel permanente, reavaliação por medida implementada e comparação de eficácia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Calibri" w:hAnsi="Calibri"/>
                <w:b/>
                <w:sz w:val="20"/>
              </w:rPr>
              <w:t>Mensal</w:t>
            </w:r>
            <w:r>
              <w:rPr>
                <w:rFonts w:ascii="Calibri" w:hAnsi="Calibri"/>
                <w:sz w:val="20"/>
              </w:rPr>
              <w:t>, sem prazo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R$ 12.954,85 / mês</w:t>
            </w:r>
            <w:r>
              <w:rPr>
                <w:rFonts w:ascii="Calibri" w:hAnsi="Calibri"/>
                <w:sz w:val="20"/>
              </w:rPr>
              <w:t xml:space="preserve"> com pioneiro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R$ 49,26</w:t>
            </w:r>
          </w:p>
        </w:tc>
        <w:tc>
          <w:tcPr>
            <w:tcW w:type="dxa" w:w="2296"/>
          </w:tcPr>
          <w:p>
            <w:r/>
            <w:r>
              <w:rPr>
                <w:rFonts w:ascii="Calibri" w:hAnsi="Calibri"/>
                <w:sz w:val="20"/>
              </w:rPr>
              <w:t>o mesmo escopo, cancelável a qualquer momento</w:t>
            </w:r>
          </w:p>
        </w:tc>
      </w:tr>
      <w:tr>
        <w:tc>
          <w:tcPr>
            <w:tcW w:type="dxa" w:w="2296"/>
          </w:tcPr>
          <w:p>
            <w:r/>
            <w:r>
              <w:rPr>
                <w:rFonts w:ascii="Calibri" w:hAnsi="Calibri"/>
                <w:b/>
                <w:sz w:val="20"/>
              </w:rPr>
              <w:t>Ciclo fechado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R$ 77.729,10</w:t>
            </w:r>
            <w:r>
              <w:rPr>
                <w:rFonts w:ascii="Calibri" w:hAnsi="Calibri"/>
                <w:sz w:val="20"/>
              </w:rPr>
              <w:t xml:space="preserve"> com pioneiro</w:t>
            </w:r>
          </w:p>
        </w:tc>
        <w:tc>
          <w:tcPr>
            <w:tcW w:type="dxa" w:w="2296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2296"/>
          </w:tcPr>
          <w:p>
            <w:r/>
            <w:r>
              <w:rPr>
                <w:rFonts w:ascii="Calibri" w:hAnsi="Calibri"/>
                <w:sz w:val="20"/>
              </w:rPr>
              <w:t xml:space="preserve">uma campanha completa com os três documentos do PGR; </w:t>
            </w:r>
            <w:r>
              <w:rPr>
                <w:rFonts w:ascii="Calibri" w:hAnsi="Calibri"/>
                <w:b/>
                <w:sz w:val="20"/>
              </w:rPr>
              <w:t>sem</w:t>
            </w:r>
            <w:r>
              <w:rPr>
                <w:rFonts w:ascii="Calibri" w:hAnsi="Calibri"/>
                <w:sz w:val="20"/>
              </w:rPr>
              <w:t xml:space="preserve"> painel permanente nem comparação entre ciclos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</w:rPr>
        <w:t>Os descontos não são cumulativos.</w:t>
      </w:r>
      <w:r>
        <w:rPr>
          <w:rFonts w:ascii="Calibri" w:hAnsi="Calibri"/>
        </w:rPr>
        <w:t xml:space="preserve"> A condição de pioneiro — 15% para contratação até 31 de dezembro de 2026 — aplica-se ao mensal e ao ciclo fechado. O anual já carrega o próprio desconto, de dois meses.</w:t>
      </w:r>
    </w:p>
    <w:p>
      <w:r>
        <w:rPr>
          <w:rFonts w:ascii="Calibri" w:hAnsi="Calibri"/>
          <w:b/>
        </w:rPr>
        <w:t>Por que recomendamos o anual.</w:t>
      </w:r>
      <w:r>
        <w:rPr>
          <w:rFonts w:ascii="Calibri" w:hAnsi="Calibri"/>
        </w:rPr>
        <w:t xml:space="preserve"> A prova de eficácia é exigência do subitem 1.5.4.4.5.3 e é o nosso diferencial — e ela só existe comparando ciclos. Campanha avulsa entrega um retrato; a assinatura entrega evidência de gestão. O anual é também o menor custo por trabalhador entre os três.</w:t>
      </w:r>
    </w:p>
    <w:p>
      <w:pPr>
        <w:keepNext/>
        <w:spacing w:before="240" w:after="120"/>
      </w:pPr>
      <w:r>
        <w:rPr>
          <w:rFonts w:ascii="Calibri" w:hAnsi="Calibri"/>
          <w:b/>
          <w:color w:val="A2570C"/>
          <w:sz w:val="22"/>
        </w:rPr>
        <w:t>Item adicional — condução da AEP em campo</w:t>
      </w:r>
    </w:p>
    <w:p>
      <w:r>
        <w:rPr>
          <w:rFonts w:ascii="Calibri" w:hAnsi="Calibri"/>
        </w:rPr>
        <w:t>A observação da atividade real e o diálogo com os trabalhadores são exigidos pela AEP e feitos por pessoa, não por sistema. Opcional, cotado por estabelecimento.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Modalidade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Por estabelecimento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Presencial, até 50 trabalhadores no endereço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R$ 2.900,00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Presencial, de 51 a 150 trabalhadores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R$ 4.400,00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Remota — rodas de diálogo por vídeo e análise documental</w:t>
            </w:r>
          </w:p>
        </w:tc>
        <w:tc>
          <w:tcPr>
            <w:tcW w:type="dxa" w:w="4592"/>
          </w:tcPr>
          <w:p>
            <w:pPr>
              <w:jc w:val="right"/>
            </w:pPr>
            <w:r/>
            <w:r>
              <w:rPr>
                <w:rFonts w:ascii="Calibri" w:hAnsi="Calibri"/>
                <w:sz w:val="20"/>
              </w:rPr>
              <w:t>R$ 1.600,00</w:t>
            </w:r>
          </w:p>
        </w:tc>
      </w:tr>
    </w:tbl>
    <w:p>
      <w:pPr>
        <w:spacing w:after="120"/>
      </w:pPr>
    </w:p>
    <w:p>
      <w:r>
        <w:rPr>
          <w:rFonts w:ascii="Calibri" w:hAnsi="Calibri"/>
        </w:rPr>
        <w:t>Deslocamento e hospedagem reembolsados a custo. A modalidade remota se aplica a endereço de atividade administrativa, onde a observação presencial não acrescenta ao que o diálogo e os documentos já mostram; em operação industrial, logística ou de atendimento presencial, a visita é necessária.</w:t>
      </w:r>
    </w:p>
    <w:p>
      <w:pPr>
        <w:spacing w:after="40"/>
      </w:pPr>
      <w:r>
        <w:rPr>
          <w:rFonts w:ascii="Calibri" w:hAnsi="Calibri"/>
          <w:b/>
        </w:rPr>
        <w:t>Sugestão para a TATICCA:</w:t>
      </w:r>
      <w:r>
        <w:rPr>
          <w:rFonts w:ascii="Calibri" w:hAnsi="Calibri"/>
        </w:rPr>
        <w:t xml:space="preserve"> matriz de São Paulo presencial e os dez demais</w:t>
      </w:r>
    </w:p>
    <w:p>
      <w:r>
        <w:rPr>
          <w:rFonts w:ascii="Calibri" w:hAnsi="Calibri"/>
        </w:rPr>
        <w:t xml:space="preserve">endereços em modalidade remota — </w:t>
      </w:r>
      <w:r>
        <w:rPr>
          <w:rFonts w:ascii="Calibri" w:hAnsi="Calibri"/>
          <w:b/>
        </w:rPr>
        <w:t>R$ 18.900,00</w:t>
      </w:r>
      <w:r>
        <w:rPr>
          <w:rFonts w:ascii="Calibri" w:hAnsi="Calibri"/>
        </w:rPr>
        <w:t>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8. Modelo de canal — TATICCA como parceira</w:t>
      </w:r>
    </w:p>
    <w:p>
      <w:r>
        <w:rPr>
          <w:rFonts w:ascii="Calibri" w:hAnsi="Calibri"/>
        </w:rPr>
        <w:t>Aplicável à carteira de clientes da TATICCA, e não ao ciclo da própria TATICCA.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Item</w:t>
            </w:r>
          </w:p>
        </w:tc>
        <w:tc>
          <w:tcPr>
            <w:tcW w:type="dxa" w:w="4592"/>
            <w:shd w:val="clear" w:fill="EDEFF2"/>
          </w:tcPr>
          <w:p>
            <w:r>
              <w:rPr>
                <w:b/>
                <w:color w:val="4C5768"/>
              </w:rPr>
            </w:r>
            <w:r>
              <w:rPr>
                <w:rFonts w:ascii="Calibri" w:hAnsi="Calibri"/>
                <w:b/>
                <w:color w:val="4C5768"/>
                <w:sz w:val="19"/>
              </w:rPr>
              <w:t>Condição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Desconto de canal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20% de 1 a 9 clientes ativos · 30% de 10 a 29 · 40% a partir de 30 — sobre a tabela vigente, aplicado ao contrato de cada cliente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Marca</w:t>
            </w:r>
          </w:p>
        </w:tc>
        <w:tc>
          <w:tcPr>
            <w:tcW w:type="dxa" w:w="4592"/>
          </w:tcPr>
          <w:p>
            <w:r/>
            <w:r>
              <w:rPr>
                <w:rFonts w:ascii="Consolas" w:hAnsi="Consolas"/>
                <w:color w:val="A2570C"/>
                <w:sz w:val="20"/>
              </w:rPr>
              <w:t>[a definir]</w:t>
            </w:r>
            <w:r>
              <w:rPr>
                <w:rFonts w:ascii="Calibri" w:hAnsi="Calibri"/>
                <w:sz w:val="20"/>
              </w:rPr>
              <w:t xml:space="preserve"> — cofirmado “TATICCA + FROID” ou entrega direta pela TATICCA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Operação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A TATICCA cadastra o cliente, conduz a campanha e assina o parecer; o FROID entrega plataforma, método e documentos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Isolamento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Cada cliente é uma organização isolada. A TATICCA não acessa resposta individual de trabalhador algum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Faturamento</w:t>
            </w:r>
          </w:p>
        </w:tc>
        <w:tc>
          <w:tcPr>
            <w:tcW w:type="dxa" w:w="4592"/>
          </w:tcPr>
          <w:p>
            <w:r/>
            <w:r>
              <w:rPr>
                <w:rFonts w:ascii="Consolas" w:hAnsi="Consolas"/>
                <w:color w:val="A2570C"/>
                <w:sz w:val="20"/>
              </w:rPr>
              <w:t>[a definir]</w:t>
            </w:r>
            <w:r>
              <w:rPr>
                <w:rFonts w:ascii="Calibri" w:hAnsi="Calibri"/>
                <w:sz w:val="20"/>
              </w:rPr>
              <w:t xml:space="preserve"> — direto ao cliente final com repasse, ou à TATICCA com revenda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Piloto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O ciclo dos 263 trabalhadores da TATICCA serve como caso e como treinamento da equipe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Ordem de grandeza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/>
                <w:sz w:val="20"/>
              </w:rPr>
              <w:t>400 clientes com 100 trabalhadores em um endereço somam R$ 10.080.000,00/ano de tabela. A 40%, são R$ 4.032.000,00/ano para a TATICCA — recorrente, porque a obrigação se repete a cada ciclo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</w:rPr>
        <w:t>Posicionamento.</w:t>
      </w:r>
      <w:r>
        <w:rPr>
          <w:rFonts w:ascii="Calibri" w:hAnsi="Calibri"/>
        </w:rPr>
        <w:t xml:space="preserve"> O escopo do FROID é deliberadamente limitado ao psicossocial e entregue na escala de gradação que o cliente já usa no resto do PGR. Não emitimos laudo, não assinamos PGR e não substituímos o SESMT — é o que permite que a consultoria de SST seja canal, e não concorrente.</w:t>
      </w:r>
    </w:p>
    <w:p>
      <w:r>
        <w:rPr>
          <w:rFonts w:ascii="Calibri" w:hAnsi="Calibri"/>
          <w:b/>
        </w:rPr>
        <w:t>Recorrência.</w:t>
      </w:r>
      <w:r>
        <w:rPr>
          <w:rFonts w:ascii="Calibri" w:hAnsi="Calibri"/>
        </w:rPr>
        <w:t xml:space="preserve"> A obrigação se repete: revisão a cada dois anos — até três com sistema de gestão de SST certificado — e antecipada por implementação de medidas, mudanças de processo, ineficácia constatada, acidente ou doença, alteração legal e solicitação justificada da CIPA.</w:t>
      </w:r>
    </w:p>
    <w:p>
      <w:pPr>
        <w:spacing w:before="80"/>
        <w:pBdr>
          <w:bottom w:val="single" w:sz="6" w:color="C9CFD8"/>
        </w:pBdr>
      </w:pPr>
    </w:p>
    <w:p>
      <w:pPr>
        <w:keepNext/>
        <w:spacing w:before="360" w:after="120"/>
      </w:pPr>
      <w:r>
        <w:rPr>
          <w:rFonts w:ascii="Calibri" w:hAnsi="Calibri"/>
          <w:b/>
          <w:color w:val="101620"/>
          <w:sz w:val="28"/>
        </w:rPr>
        <w:t>9. Condições gerais</w:t>
      </w:r>
    </w:p>
    <w:p>
      <w:pPr>
        <w:pStyle w:val="ListBullet"/>
        <w:spacing w:after="80"/>
      </w:pPr>
      <w:r>
        <w:rPr>
          <w:rFonts w:ascii="Calibri" w:hAnsi="Calibri"/>
          <w:b/>
        </w:rPr>
        <w:t>Pagamento:</w:t>
      </w:r>
      <w:r>
        <w:rPr>
          <w:rFonts w:ascii="Calibri" w:hAnsi="Calibri"/>
        </w:rPr>
        <w:t xml:space="preserve"> </w:t>
      </w:r>
      <w:r>
        <w:rPr>
          <w:rFonts w:ascii="Consolas" w:hAnsi="Consolas"/>
          <w:color w:val="A2570C"/>
        </w:rPr>
        <w:t>[a definir]</w:t>
      </w:r>
    </w:p>
    <w:p>
      <w:pPr>
        <w:pStyle w:val="ListBullet"/>
        <w:spacing w:after="80"/>
      </w:pPr>
      <w:r>
        <w:rPr>
          <w:rFonts w:ascii="Calibri" w:hAnsi="Calibri"/>
          <w:b/>
        </w:rPr>
        <w:t>Vigência contratual:</w:t>
      </w:r>
      <w:r>
        <w:rPr>
          <w:rFonts w:ascii="Calibri" w:hAnsi="Calibri"/>
        </w:rPr>
        <w:t xml:space="preserve"> </w:t>
      </w:r>
      <w:r>
        <w:rPr>
          <w:rFonts w:ascii="Consolas" w:hAnsi="Consolas"/>
          <w:color w:val="A2570C"/>
        </w:rPr>
        <w:t>[a definir]</w:t>
      </w:r>
    </w:p>
    <w:p>
      <w:pPr>
        <w:pStyle w:val="ListBullet"/>
        <w:spacing w:after="80"/>
      </w:pPr>
      <w:r>
        <w:rPr>
          <w:rFonts w:ascii="Calibri" w:hAnsi="Calibri"/>
          <w:b/>
        </w:rPr>
        <w:t>Documentos integrantes:</w:t>
      </w:r>
      <w:r>
        <w:rPr>
          <w:rFonts w:ascii="Calibri" w:hAnsi="Calibri"/>
        </w:rPr>
        <w:t xml:space="preserve"> Contrato de Prestação de Serviço FROID NR-1, Termos de Uso FROID NR-1 e esta proposta comercial. Em caso de divergência prevalece o contrato quanto às obrigações jurídicas gerais e a proposta quanto a preço, prazo, quantidade de trabalhadores, estabelecimentos e escopo adicional.</w:t>
      </w:r>
    </w:p>
    <w:p>
      <w:pPr>
        <w:pStyle w:val="ListBullet"/>
        <w:spacing w:after="80"/>
      </w:pPr>
      <w:r>
        <w:rPr>
          <w:rFonts w:ascii="Calibri" w:hAnsi="Calibri"/>
          <w:b/>
        </w:rPr>
        <w:t>Aceite:</w:t>
      </w:r>
      <w:r>
        <w:rPr>
          <w:rFonts w:ascii="Calibri" w:hAnsi="Calibri"/>
        </w:rPr>
        <w:t xml:space="preserve"> registrado no sistema com data, autor e impressão digital (SHA-256) de cada documento aceito, disponível a qualquer momento como comprovante.</w:t>
      </w:r>
    </w:p>
    <w:p>
      <w:pPr>
        <w:pStyle w:val="ListBullet"/>
        <w:spacing w:after="80"/>
      </w:pPr>
      <w:r>
        <w:rPr>
          <w:rFonts w:ascii="Calibri" w:hAnsi="Calibri"/>
          <w:b/>
        </w:rPr>
        <w:t>Proteção de dados:</w:t>
      </w:r>
      <w:r>
        <w:rPr>
          <w:rFonts w:ascii="Calibri" w:hAnsi="Calibri"/>
        </w:rPr>
        <w:t xml:space="preserve"> o tratamento tem por base o cumprimento de obrigação legal do empregador (LGPD, art. 7º, II e art. 11, II, “a”), e não o consentimento do trabalhador.</w:t>
      </w:r>
    </w:p>
    <w:p>
      <w:pPr>
        <w:spacing w:before="80"/>
        <w:pBdr>
          <w:bottom w:val="single" w:sz="6" w:color="C9CFD8"/>
        </w:pBdr>
      </w:pPr>
    </w:p>
    <w:p>
      <w:r>
        <w:rPr>
          <w:rFonts w:ascii="Calibri" w:hAnsi="Calibri"/>
        </w:rPr>
        <w:t>FROID · froid@froid.com.br · www.froid.com.br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016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