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Calibri" w:hAnsi="Calibri"/>
          <w:b/>
          <w:color w:val="101620"/>
          <w:sz w:val="40"/>
        </w:rPr>
        <w:t>Roteiro — reunião TATICCA, 28/08/2026, 9h</w:t>
      </w:r>
    </w:p>
    <w:p>
      <w:r>
        <w:rPr>
          <w:rFonts w:ascii="Calibri" w:hAnsi="Calibri"/>
        </w:rPr>
        <w:t xml:space="preserve">Objetivo declarado: sair com contrato assinado e com a lista de </w:t>
      </w:r>
      <w:r>
        <w:rPr>
          <w:rFonts w:ascii="Consolas" w:hAnsi="Consolas"/>
          <w:color w:val="A2570C"/>
        </w:rPr>
        <w:t>matrícula;setor</w:t>
      </w:r>
      <w:r>
        <w:rPr>
          <w:rFonts w:ascii="Calibri" w:hAnsi="Calibri"/>
        </w:rPr>
        <w:t>. Objetivo real, e maior: abrir a conversa de canal para os 400+ clientes da carteira.</w:t>
      </w:r>
    </w:p>
    <w:p>
      <w:pPr>
        <w:spacing w:after="40"/>
      </w:pPr>
      <w:r>
        <w:rPr>
          <w:rFonts w:ascii="Calibri" w:hAnsi="Calibri"/>
          <w:b/>
        </w:rPr>
        <w:t>Antes de entrar:</w:t>
      </w:r>
      <w:r>
        <w:rPr>
          <w:rFonts w:ascii="Calibri" w:hAnsi="Calibri"/>
        </w:rPr>
        <w:t xml:space="preserve"> confirme que está logado como </w:t>
      </w:r>
      <w:r>
        <w:rPr>
          <w:rFonts w:ascii="Consolas" w:hAnsi="Consolas"/>
          <w:color w:val="A2570C"/>
        </w:rPr>
        <w:t>froidtaticca@gmail.com</w:t>
      </w:r>
      <w:r>
        <w:rPr>
          <w:rFonts w:ascii="Calibri" w:hAnsi="Calibri"/>
        </w:rPr>
        <w:t>, que o</w:t>
      </w:r>
    </w:p>
    <w:p>
      <w:r>
        <w:rPr>
          <w:rFonts w:ascii="Calibri" w:hAnsi="Calibri"/>
        </w:rPr>
        <w:t>seletor de organização mostra as duas opções, e deixe três abas abertas — painel do Piloto, painel da TATICCA, e o FROID Explica NR-1. Feche a aba do terminal.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0 — Abertura (2 min)</w:t>
      </w:r>
    </w:p>
    <w:p>
      <w:r>
        <w:rPr>
          <w:rFonts w:ascii="Calibri" w:hAnsi="Calibri"/>
        </w:rPr>
        <w:t>Não comece pelo produto. Comece pela data.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"Desde 26 de maio a NR-1 exige que o risco psicossocial esteja no inventário de riscos, com a mesma formalidade dos demais. O período de dupla visita orientativa já passou. A pergunta que eu vim responder é simples: o que a TATICCA mostra se um auditor pedir isso hoje?"</w:t>
      </w:r>
    </w:p>
    <w:p>
      <w:r>
        <w:rPr>
          <w:rFonts w:ascii="Calibri" w:hAnsi="Calibri"/>
        </w:rPr>
        <w:t>Deixe eles responderem. A resposta define o resto da conversa — e nos 400 clientes deles a resposta é a mesma.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1 — Os três documentos (4 min)</w:t>
      </w:r>
    </w:p>
    <w:p>
      <w:r>
        <w:rPr>
          <w:rFonts w:ascii="Calibri" w:hAnsi="Calibri"/>
        </w:rPr>
        <w:t>Mostre a tabela do item 01 da apresentação.</w:t>
      </w:r>
    </w:p>
    <w:p>
      <w:r>
        <w:rPr>
          <w:rFonts w:ascii="Calibri" w:hAnsi="Calibri"/>
        </w:rPr>
        <w:t xml:space="preserve">O ponto que ganha respeito de auditor: </w:t>
      </w:r>
      <w:r>
        <w:rPr>
          <w:rFonts w:ascii="Calibri" w:hAnsi="Calibri"/>
          <w:b/>
        </w:rPr>
        <w:t>o terceiro documento</w:t>
      </w:r>
      <w:r>
        <w:rPr>
          <w:rFonts w:ascii="Calibri" w:hAnsi="Calibri"/>
        </w:rPr>
        <w:t>. O texto da norma cita dois mínimos — inventário e plano de ação — e o Manual do MTE relaciona o documento de critérios como igualmente obrigatório. É o que quase toda empresa descobre tarde.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"Se vocês pedirem o documento de critérios num cliente amanhã, a maioria não tem. Não é má-fé: está no Manual, não no texto da norma."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2 — Os números deles, calculados na frente (5 min)</w:t>
      </w:r>
    </w:p>
    <w:p>
      <w:r>
        <w:rPr>
          <w:rFonts w:ascii="Calibri" w:hAnsi="Calibri"/>
        </w:rPr>
        <w:t xml:space="preserve">Abra o painel da TATICCA → </w:t>
      </w:r>
      <w:r>
        <w:rPr>
          <w:rFonts w:ascii="Calibri" w:hAnsi="Calibri"/>
          <w:b/>
        </w:rPr>
        <w:t>Estrutura da empresa</w:t>
      </w:r>
      <w:r>
        <w:rPr>
          <w:rFonts w:ascii="Calibri" w:hAnsi="Calibri"/>
        </w:rPr>
        <w:t>.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"263 trabalhadores, 11 estabelecimentos, 19 setores. Com isso, a campanha da organização precisa de 157 respostas substantivas para publicar."</w:t>
      </w:r>
    </w:p>
    <w:p>
      <w:r>
        <w:rPr>
          <w:rFonts w:ascii="Calibri" w:hAnsi="Calibri"/>
        </w:rPr>
        <w:t xml:space="preserve">E então a ressalva, </w:t>
      </w:r>
      <w:r>
        <w:rPr>
          <w:rFonts w:ascii="Calibri" w:hAnsi="Calibri"/>
          <w:b/>
        </w:rPr>
        <w:t>antes</w:t>
      </w:r>
      <w:r>
        <w:rPr>
          <w:rFonts w:ascii="Calibri" w:hAnsi="Calibri"/>
        </w:rPr>
        <w:t xml:space="preserve"> que perguntem: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"E nenhum dos 11 endereços publica relatório próprio. Com 23 pessoas cada, a amostra exigida alcança o quadro inteiro — seria censo, e uma recusa suspende. Quem prometer relatório por filial para esta estrutura está fazendo a promessa que quebra no fim da coleta, com o dinheiro já pago."</w:t>
      </w:r>
    </w:p>
    <w:p>
      <w:r>
        <w:rPr>
          <w:rFonts w:ascii="Calibri" w:hAnsi="Calibri"/>
        </w:rPr>
        <w:t>Essa frase é a que compra credibilidade. Diga-a olhando para eles.</w:t>
      </w:r>
    </w:p>
    <w:p>
      <w:r>
        <w:rPr>
          <w:rFonts w:ascii="Calibri" w:hAnsi="Calibri"/>
        </w:rPr>
        <w:t xml:space="preserve">Em seguida, mostre o que se entrega no lugar: abra </w:t>
      </w:r>
      <w:r>
        <w:rPr>
          <w:rFonts w:ascii="Calibri" w:hAnsi="Calibri"/>
          <w:b/>
        </w:rPr>
        <w:t>Inventário</w:t>
      </w:r>
      <w:r>
        <w:rPr>
          <w:rFonts w:ascii="Calibri" w:hAnsi="Calibri"/>
        </w:rPr>
        <w:t xml:space="preserve"> na campanha encerrada e mostre a linha declarada insuficiente, com o portão e o caminho.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"Painel vazio é lido como 'não há risco aqui', que é a única conclusão que a ausência de dado nunca autoriza. Por isso isto entra no mesmo documento."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3 — A fronteira, demonstrada (3 min)</w:t>
      </w:r>
    </w:p>
    <w:p>
      <w:r>
        <w:rPr>
          <w:rFonts w:ascii="Calibri" w:hAnsi="Calibri"/>
        </w:rPr>
        <w:t>Não explique: mostre.</w:t>
      </w:r>
    </w:p>
    <w:p>
      <w:pPr>
        <w:pStyle w:val="ListNumber"/>
        <w:spacing w:after="80"/>
      </w:pPr>
      <w:r>
        <w:rPr>
          <w:rFonts w:ascii="Calibri" w:hAnsi="Calibri"/>
        </w:rPr>
        <w:t xml:space="preserve">Ainda logado como a empresa, digite </w:t>
      </w:r>
      <w:r>
        <w:rPr>
          <w:rFonts w:ascii="Consolas" w:hAnsi="Consolas"/>
          <w:color w:val="A2570C"/>
        </w:rPr>
        <w:t>/app/#/clinica</w:t>
      </w:r>
      <w:r>
        <w:rPr>
          <w:rFonts w:ascii="Calibri" w:hAnsi="Calibri"/>
        </w:rPr>
        <w:t xml:space="preserve"> na barra de endereços.</w:t>
      </w:r>
    </w:p>
    <w:p>
      <w:pPr>
        <w:pStyle w:val="ListNumber"/>
        <w:spacing w:after="80"/>
      </w:pPr>
      <w:r>
        <w:rPr>
          <w:rFonts w:ascii="Calibri" w:hAnsi="Calibri"/>
        </w:rPr>
        <w:t>Leia em voz alta a recusa que aparece.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"Isso não é configuração de permissão que alguém possa afrouxar. As tabelas de resposta individual não têm política de leitura, e o papel com que o sistema funciona não tem permissão sobre elas. A única saída do banco é uma função de agregação que já aplica os pisos."</w:t>
      </w:r>
    </w:p>
    <w:p>
      <w:r>
        <w:rPr>
          <w:rFonts w:ascii="Calibri" w:hAnsi="Calibri"/>
        </w:rPr>
        <w:t>Complemento que costuma decidir a objeção do jurídico: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"E nós não recebemos nome de trabalhador. Não existe campo. Vocês nos dão a matrícula; nós guardamos um pseudônimo criptográfico dela e o resumo do link, nunca o par entre os dois. Quem sabe qual link foi para quem é o RH de vocês."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4 — A prova de eficácia (5 min) — o momento da reunião</w:t>
      </w:r>
    </w:p>
    <w:p>
      <w:r>
        <w:rPr>
          <w:rFonts w:ascii="Calibri" w:hAnsi="Calibri"/>
        </w:rPr>
        <w:t xml:space="preserve">Troque para </w:t>
      </w:r>
      <w:r>
        <w:rPr>
          <w:rFonts w:ascii="Calibri" w:hAnsi="Calibri"/>
          <w:b/>
        </w:rPr>
        <w:t>FROID NR-1 Piloto 01</w:t>
      </w:r>
      <w:r>
        <w:rPr>
          <w:rFonts w:ascii="Calibri" w:hAnsi="Calibri"/>
        </w:rPr>
        <w:t xml:space="preserve"> e vá em </w:t>
      </w:r>
      <w:r>
        <w:rPr>
          <w:rFonts w:ascii="Calibri" w:hAnsi="Calibri"/>
          <w:b/>
        </w:rPr>
        <w:t>Eficácia das medidas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Mostre as três linhas, nesta ordem:</w:t>
      </w:r>
    </w:p>
    <w:p>
      <w:pPr>
        <w:pStyle w:val="ListNumber"/>
        <w:spacing w:after="80"/>
      </w:pPr>
      <w:r>
        <w:rPr>
          <w:rFonts w:ascii="Consolas" w:hAnsi="Consolas"/>
          <w:color w:val="A2570C"/>
        </w:rPr>
        <w:t>+3,05 ±0,51</w:t>
      </w:r>
      <w:r>
        <w:rPr>
          <w:rFonts w:ascii="Calibri" w:hAnsi="Calibri"/>
        </w:rPr>
        <w:t xml:space="preserve"> — medida eficaz. "O sistema afirma que funcionou."</w:t>
      </w:r>
    </w:p>
    <w:p>
      <w:pPr>
        <w:pStyle w:val="ListNumber"/>
        <w:spacing w:after="80"/>
      </w:pPr>
      <w:r>
        <w:rPr>
          <w:rFonts w:ascii="Consolas" w:hAnsi="Consolas"/>
          <w:color w:val="A2570C"/>
        </w:rPr>
        <w:t>−2,86 ±0,49</w:t>
      </w:r>
      <w:r>
        <w:rPr>
          <w:rFonts w:ascii="Calibri" w:hAnsi="Calibri"/>
        </w:rPr>
        <w:t xml:space="preserve"> — piorou. "E afirma quando piora. Fornecedor que só reporta melhora não tem credibilidade nenhuma."</w:t>
      </w:r>
    </w:p>
    <w:p>
      <w:pPr>
        <w:pStyle w:val="ListNumber"/>
        <w:spacing w:after="80"/>
      </w:pPr>
      <w:r>
        <w:rPr>
          <w:rFonts w:ascii="Consolas" w:hAnsi="Consolas"/>
          <w:color w:val="A2570C"/>
        </w:rPr>
        <w:t>+0,60 ±0,60</w:t>
      </w:r>
      <w:r>
        <w:rPr>
          <w:rFonts w:ascii="Calibri" w:hAnsi="Calibri"/>
        </w:rPr>
        <w:t xml:space="preserve"> — </w:t>
      </w:r>
      <w:r>
        <w:rPr>
          <w:rFonts w:ascii="Calibri" w:hAnsi="Calibri"/>
          <w:b/>
        </w:rPr>
        <w:t>sem mudança</w:t>
      </w:r>
      <w:r>
        <w:rPr>
          <w:rFonts w:ascii="Calibri" w:hAnsi="Calibri"/>
        </w:rPr>
        <w:t>. Pare aqui.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"Olhem esta. A média caiu de 2,50 para 2,14. O efeito é positivo. E o sistema se recusa a dizer que melhorou — porque com 22 respostas a margem alcança o zero. A classificação usa o limite conservador do intervalo, nunca o valor central."</w:t>
      </w:r>
    </w:p>
    <w:p>
      <w:r>
        <w:rPr>
          <w:rFonts w:ascii="Calibri" w:hAnsi="Calibri"/>
        </w:rPr>
        <w:t>E então o fecho: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"A norma manda considerar a eficácia das medidas já implementadas ao graduar a probabilidade. Vocês são auditores: sabem o que vale uma afirmação que se recusa a ser feita quando a evidência não sustenta."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5 — Escopo e o que fica de fora (3 min)</w:t>
      </w:r>
    </w:p>
    <w:p>
      <w:r>
        <w:rPr>
          <w:rFonts w:ascii="Calibri" w:hAnsi="Calibri"/>
        </w:rPr>
        <w:t xml:space="preserve">Seja explícito sobre o que </w:t>
      </w:r>
      <w:r>
        <w:rPr>
          <w:rFonts w:ascii="Calibri" w:hAnsi="Calibri"/>
          <w:b/>
        </w:rPr>
        <w:t>não</w:t>
      </w:r>
      <w:r>
        <w:rPr>
          <w:rFonts w:ascii="Calibri" w:hAnsi="Calibri"/>
        </w:rPr>
        <w:t xml:space="preserve"> está incluído, e diga por quê: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"A observação da atividade e o diálogo com os trabalhadores — que a AEP exige — são feitos por gente, não por sistema. Isso é item cotado à parte, por endereço. O que entregamos é a estrutura que registra cada evidência com o método declarado, e sinaliza quando a AEP se apoiou apenas em questionário."</w:t>
      </w:r>
    </w:p>
    <w:p>
      <w:r>
        <w:rPr>
          <w:rFonts w:ascii="Calibri" w:hAnsi="Calibri"/>
        </w:rPr>
        <w:t>Um sistema que reconhece o próprio limite é mais convincente que um que promete tudo. E abre a porta para a TATICCA fazer essa parte — o que é receita deles.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6 — Os três modelos (4 min)</w:t>
      </w:r>
    </w:p>
    <w:p>
      <w:r>
        <w:rPr>
          <w:rFonts w:ascii="Calibri" w:hAnsi="Calibri"/>
        </w:rPr>
        <w:t>Apresente os três sem defender nenhum, e então recomende: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"Os três cobrem o mesmo escopo. Mas eficácia só existe comparando ciclos — campanha avulsa entrega retrato, assinatura entrega evidência de gestão. Se o diferencial que acabei de mostrar importa para vocês, o modelo é a assinatura."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7 — A conversa de canal (8 min) — não deixe para o fim</w:t>
      </w:r>
    </w:p>
    <w:p>
      <w:r>
        <w:rPr>
          <w:rFonts w:ascii="Calibri" w:hAnsi="Calibri"/>
        </w:rPr>
        <w:t xml:space="preserve">Se a reunião estiver correndo bem, </w:t>
      </w:r>
      <w:r>
        <w:rPr>
          <w:rFonts w:ascii="Calibri" w:hAnsi="Calibri"/>
          <w:b/>
        </w:rPr>
        <w:t>antecipe este bloco para depois do item 4</w:t>
      </w:r>
      <w:r>
        <w:rPr>
          <w:rFonts w:ascii="Calibri" w:hAnsi="Calibri"/>
        </w:rPr>
        <w:t>.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"Vocês têm mais de 400 clientes ativos. Todos com a mesma obrigação vencida em 26 de maio, e a maioria sem cumprir."</w:t>
      </w:r>
    </w:p>
    <w:p>
      <w:r>
        <w:rPr>
          <w:rFonts w:ascii="Calibri" w:hAnsi="Calibri"/>
        </w:rPr>
        <w:t>O argumento central: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"Auditoria que aponta a não conformidade e não tem o que oferecer perde a receita para outro. O FROID foi construído com escopo deliberadamente limitado ao psicossocial — não fazemos laudo, não assinamos PGR, não substituímos SESMT. Isso não é limitação: é a decisão que faz a consultoria virar canal em vez de concorrente."</w:t>
      </w:r>
    </w:p>
    <w:p>
      <w:r>
        <w:rPr>
          <w:rFonts w:ascii="Calibri" w:hAnsi="Calibri"/>
        </w:rPr>
        <w:t>E a recorrência: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"Revisão a cada dois anos, mais os gatilhos: medida implementada, mudança de processo, acidente, solicitação da CIPA. Não é venda única."</w:t>
      </w:r>
    </w:p>
    <w:p>
      <w:r>
        <w:rPr>
          <w:rFonts w:ascii="Calibri" w:hAnsi="Calibri"/>
        </w:rPr>
        <w:t xml:space="preserve">Proposta concreta para sair da reunião: </w:t>
      </w:r>
      <w:r>
        <w:rPr>
          <w:rFonts w:ascii="Calibri" w:hAnsi="Calibri"/>
          <w:b/>
        </w:rPr>
        <w:t>o ciclo da própria TATICCA como piloto e treinamento da equipe</w:t>
      </w:r>
      <w:r>
        <w:rPr>
          <w:rFonts w:ascii="Calibri" w:hAnsi="Calibri"/>
        </w:rPr>
        <w:t>, e o desenho do canal em paralelo.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Objeções prováveis, e a resposta</w:t>
      </w:r>
    </w:p>
    <w:p>
      <w:r>
        <w:rPr>
          <w:rFonts w:ascii="Calibri" w:hAnsi="Calibri"/>
          <w:b/>
        </w:rPr>
        <w:t>"O trabalhador vai responder com medo."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É por isso que o aviso de finalidade é escrito por vocês e é obrigatório, e que o canal de apoio é exigido pelo banco de dados antes de a coleta abrir. Quem desconfia responde o que é seguro, não o que é verdade — e aí a empresa paga por um retrato falso. A adesão é a variável que mais depende da comunicação de vocês.</w:t>
      </w:r>
    </w:p>
    <w:p>
      <w:r>
        <w:rPr>
          <w:rFonts w:ascii="Calibri" w:hAnsi="Calibri"/>
          <w:b/>
        </w:rPr>
        <w:t>"E se não atingirmos as 157?"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Vocês recebem o inventário mesmo assim, com a insuficiência declarada, o portão que barrou e o caminho de remédio. É documento válido e é a porta natural da AEP. Nenhum concorrente entrega isso — a maioria entrega uma folha em branco, que a fiscalização lê como omissão.</w:t>
      </w:r>
    </w:p>
    <w:p>
      <w:r>
        <w:rPr>
          <w:rFonts w:ascii="Calibri" w:hAnsi="Calibri"/>
          <w:b/>
        </w:rPr>
        <w:t>"Isso garante que ficamos em conformidade?"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Não, e está escrito no contrato. O MTE afirma que questionário isoladamente não comprova gestão de riscos. O que entregamos é a caracterização da exposição, os três documentos e a prova de eficácia. Quem promete conformidade automática está prometendo o que cai primeiro numa fiscalização.</w:t>
      </w:r>
    </w:p>
    <w:p>
      <w:r>
        <w:rPr>
          <w:rFonts w:ascii="Calibri" w:hAnsi="Calibri"/>
          <w:b/>
        </w:rPr>
        <w:t>"Quanto custa para os nossos clientes?"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Depende do porte — a curva achata: 250 pessoas exigem 152 respostas, 3.000 exigem 341. Empresa grande tem folga; empresa de 15 a 49 entra por censo, e isso precisa ser dito antes do contrato, não depois.</w:t>
      </w:r>
    </w:p>
    <w:p>
      <w:r>
        <w:rPr>
          <w:rFonts w:ascii="Calibri" w:hAnsi="Calibri"/>
          <w:b/>
        </w:rPr>
        <w:t>"Vocês guardam as respostas para sempre?"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Não. A norma exige vinte anos do inventário, não das respostas que o produziram. Depois de consolidado, a resposta individual não responde nenhuma pergunta que o agregado não responda, e há ferramenta própria para purgá-las.</w:t>
      </w:r>
    </w:p>
    <w:p>
      <w:r>
        <w:rPr>
          <w:rFonts w:ascii="Calibri" w:hAnsi="Calibri"/>
          <w:b/>
        </w:rPr>
        <w:t>"Precisamos de psicólogo para assinar?"</w:t>
      </w:r>
    </w:p>
    <w:p>
      <w:pPr>
        <w:spacing w:before="160" w:after="200"/>
        <w:ind w:left="340"/>
      </w:pPr>
      <w:r>
        <w:rPr>
          <w:rFonts w:ascii="Calibri" w:hAnsi="Calibri"/>
          <w:color w:val="A2570C"/>
          <w:sz w:val="20"/>
        </w:rPr>
        <w:t>A norma não exige profissão específica nem impõe metodologia. Exige coerência técnica, justificada e documentada. A responsabilidade pelo GRO permanece da organização.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Fechamento (3 min)</w:t>
      </w:r>
    </w:p>
    <w:p>
      <w:r>
        <w:rPr>
          <w:rFonts w:ascii="Calibri" w:hAnsi="Calibri"/>
        </w:rPr>
        <w:t>Peça as duas coisas, nesta ordem:</w:t>
      </w:r>
    </w:p>
    <w:p>
      <w:pPr>
        <w:pStyle w:val="ListNumber"/>
        <w:spacing w:after="80"/>
      </w:pPr>
      <w:r>
        <w:rPr>
          <w:rFonts w:ascii="Calibri" w:hAnsi="Calibri"/>
          <w:b/>
        </w:rPr>
        <w:t>A decisão do modelo</w:t>
      </w:r>
      <w:r>
        <w:rPr>
          <w:rFonts w:ascii="Calibri" w:hAnsi="Calibri"/>
        </w:rPr>
        <w:t xml:space="preserve"> — e assine na hora, pelo sistema. O contrato e os Termos estão versionados, e o comprovante de aceite registra quem aceitou, quando, e a impressão digital de cada documento.</w:t>
      </w:r>
    </w:p>
    <w:p>
      <w:pPr>
        <w:pStyle w:val="ListNumber"/>
        <w:spacing w:after="80"/>
      </w:pPr>
      <w:r>
        <w:rPr>
          <w:rFonts w:ascii="Calibri" w:hAnsi="Calibri"/>
          <w:b/>
        </w:rPr>
        <w:t>A lista de `matrícula;setor`</w:t>
      </w:r>
      <w:r>
        <w:rPr>
          <w:rFonts w:ascii="Calibri" w:hAnsi="Calibri"/>
        </w:rPr>
        <w:t xml:space="preserve"> — nunca nomes. Diga isso explicitamente; é um pedido mais fácil de aprovar do que parece, porque o RH deles não entrega dado pessoal a fornecedor nenhum.</w:t>
      </w:r>
    </w:p>
    <w:p>
      <w:r>
        <w:rPr>
          <w:rFonts w:ascii="Calibri" w:hAnsi="Calibri"/>
        </w:rPr>
        <w:t>E marque a segunda conversa, a do canal, com data.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Se algo falhar ao vivo</w:t>
      </w:r>
    </w:p>
    <w:p>
      <w:pPr>
        <w:pStyle w:val="ListBullet"/>
        <w:spacing w:after="80"/>
      </w:pPr>
      <w:r>
        <w:rPr>
          <w:rFonts w:ascii="Calibri" w:hAnsi="Calibri"/>
          <w:b/>
        </w:rPr>
        <w:t>Consulta aberta do Explica sem resposta:</w:t>
      </w:r>
      <w:r>
        <w:rPr>
          <w:rFonts w:ascii="Calibri" w:hAnsi="Calibri"/>
        </w:rPr>
        <w:t xml:space="preserve"> as 48 respostas revisadas continuam funcionando, sem rede. Use a busca.</w:t>
      </w:r>
    </w:p>
    <w:p>
      <w:pPr>
        <w:pStyle w:val="ListBullet"/>
        <w:spacing w:after="80"/>
      </w:pPr>
      <w:r>
        <w:rPr>
          <w:rFonts w:ascii="Calibri" w:hAnsi="Calibri"/>
          <w:b/>
        </w:rPr>
        <w:t>Painel lento ou erro:</w:t>
      </w:r>
      <w:r>
        <w:rPr>
          <w:rFonts w:ascii="Calibri" w:hAnsi="Calibri"/>
        </w:rPr>
        <w:t xml:space="preserve"> abra o inventário em PDF que você já salvou.</w:t>
      </w:r>
    </w:p>
    <w:p>
      <w:pPr>
        <w:pStyle w:val="ListBullet"/>
        <w:spacing w:after="80"/>
      </w:pPr>
      <w:r>
        <w:rPr>
          <w:rFonts w:ascii="Calibri" w:hAnsi="Calibri"/>
          <w:b/>
        </w:rPr>
        <w:t>Não conseguir trocar de organização:</w:t>
      </w:r>
      <w:r>
        <w:rPr>
          <w:rFonts w:ascii="Calibri" w:hAnsi="Calibri"/>
        </w:rPr>
        <w:t xml:space="preserve"> o documento impresso do piloto cobre o argumento de eficácia.</w:t>
      </w:r>
    </w:p>
    <w:p>
      <w:r>
        <w:rPr>
          <w:rFonts w:ascii="Calibri" w:hAnsi="Calibri"/>
        </w:rPr>
        <w:t xml:space="preserve">Tenha o PDF do inventário salvo no desktop </w:t>
      </w:r>
      <w:r>
        <w:rPr>
          <w:rFonts w:ascii="Calibri" w:hAnsi="Calibri"/>
          <w:b/>
        </w:rPr>
        <w:t>antes</w:t>
      </w:r>
      <w:r>
        <w:rPr>
          <w:rFonts w:ascii="Calibri" w:hAnsi="Calibri"/>
        </w:rPr>
        <w:t xml:space="preserve"> de sair de casa.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016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